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794" w:type="dxa"/>
        <w:jc w:val="center"/>
        <w:tblLook w:val="04A0" w:firstRow="1" w:lastRow="0" w:firstColumn="1" w:lastColumn="0" w:noHBand="0" w:noVBand="1"/>
      </w:tblPr>
      <w:tblGrid>
        <w:gridCol w:w="8794"/>
      </w:tblGrid>
      <w:tr w:rsidR="00327D42" w:rsidTr="00327D42">
        <w:trPr>
          <w:trHeight w:val="360"/>
          <w:jc w:val="center"/>
        </w:trPr>
        <w:tc>
          <w:tcPr>
            <w:tcW w:w="8794" w:type="dxa"/>
          </w:tcPr>
          <w:p w:rsidR="00327D42" w:rsidRDefault="0000123F">
            <w:pPr>
              <w:spacing w:line="360" w:lineRule="auto"/>
              <w:rPr>
                <w:sz w:val="28"/>
                <w:szCs w:val="28"/>
              </w:rPr>
            </w:pPr>
            <w:bookmarkStart w:id="0" w:name="_GoBack"/>
            <w:bookmarkEnd w:id="0"/>
            <w:r>
              <w:rPr>
                <w:rFonts w:hint="cs"/>
                <w:b/>
                <w:bCs/>
                <w:sz w:val="28"/>
                <w:szCs w:val="28"/>
                <w:rtl/>
              </w:rPr>
              <w:t xml:space="preserve">לפני </w:t>
            </w:r>
            <w:r>
              <w:rPr>
                <w:rFonts w:hint="cs"/>
                <w:b/>
                <w:bCs/>
                <w:sz w:val="26"/>
                <w:szCs w:val="26"/>
                <w:rtl/>
              </w:rPr>
              <w:t>הרכב כבוד השופטים</w:t>
            </w:r>
            <w:r>
              <w:rPr>
                <w:rFonts w:hint="cs"/>
                <w:b/>
                <w:bCs/>
                <w:sz w:val="28"/>
                <w:szCs w:val="28"/>
                <w:rtl/>
              </w:rPr>
              <w:t>:</w:t>
            </w:r>
          </w:p>
          <w:p w:rsidR="00327D42" w:rsidRDefault="00F94382">
            <w:pPr>
              <w:rPr>
                <w:rFonts w:ascii="David" w:hAnsi="David"/>
                <w:b/>
                <w:bCs/>
                <w:sz w:val="26"/>
                <w:szCs w:val="26"/>
              </w:rPr>
            </w:pPr>
          </w:p>
          <w:p w:rsidR="00327D42" w:rsidRDefault="0000123F">
            <w:pPr>
              <w:spacing w:line="360" w:lineRule="auto"/>
              <w:rPr>
                <w:b/>
                <w:bCs/>
                <w:sz w:val="26"/>
                <w:szCs w:val="26"/>
              </w:rPr>
            </w:pPr>
            <w:r>
              <w:rPr>
                <w:rFonts w:hint="cs"/>
                <w:b/>
                <w:bCs/>
                <w:sz w:val="26"/>
                <w:szCs w:val="26"/>
                <w:rtl/>
              </w:rPr>
              <w:t>סארי ג'יוסי [אב"ד]</w:t>
            </w:r>
          </w:p>
          <w:p w:rsidR="00327D42" w:rsidRDefault="0000123F">
            <w:pPr>
              <w:spacing w:line="360" w:lineRule="auto"/>
              <w:rPr>
                <w:b/>
                <w:bCs/>
                <w:sz w:val="26"/>
                <w:szCs w:val="26"/>
                <w:rtl/>
              </w:rPr>
            </w:pPr>
            <w:r>
              <w:rPr>
                <w:rFonts w:hint="cs"/>
                <w:b/>
                <w:bCs/>
                <w:sz w:val="26"/>
                <w:szCs w:val="26"/>
                <w:rtl/>
              </w:rPr>
              <w:t>עפרה אטיאס</w:t>
            </w:r>
          </w:p>
          <w:p w:rsidR="00327D42" w:rsidRDefault="0000123F">
            <w:pPr>
              <w:spacing w:line="360" w:lineRule="auto"/>
              <w:rPr>
                <w:b/>
                <w:bCs/>
                <w:sz w:val="26"/>
                <w:szCs w:val="26"/>
                <w:rtl/>
              </w:rPr>
            </w:pPr>
            <w:r>
              <w:rPr>
                <w:rFonts w:hint="cs"/>
                <w:b/>
                <w:bCs/>
                <w:sz w:val="26"/>
                <w:szCs w:val="26"/>
                <w:rtl/>
              </w:rPr>
              <w:t>ניצן סילמן</w:t>
            </w: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327D42" w:rsidTr="0000123F">
        <w:tc>
          <w:tcPr>
            <w:tcW w:w="3246" w:type="dxa"/>
          </w:tcPr>
          <w:p w:rsidR="00327D42" w:rsidRDefault="00F94382">
            <w:pPr>
              <w:suppressLineNumbers/>
              <w:rPr>
                <w:rFonts w:ascii="David" w:hAnsi="David"/>
                <w:b/>
                <w:bCs/>
                <w:rtl/>
              </w:rPr>
            </w:pPr>
          </w:p>
          <w:p w:rsidR="00083FFC" w:rsidRDefault="00083FFC">
            <w:pPr>
              <w:suppressLineNumbers/>
              <w:rPr>
                <w:rFonts w:ascii="David" w:hAnsi="David"/>
                <w:b/>
                <w:bCs/>
                <w:rtl/>
              </w:rPr>
            </w:pPr>
          </w:p>
        </w:tc>
        <w:tc>
          <w:tcPr>
            <w:tcW w:w="5734" w:type="dxa"/>
          </w:tcPr>
          <w:p w:rsidR="00327D42" w:rsidRDefault="00F94382">
            <w:pPr>
              <w:suppressLineNumbers/>
              <w:rPr>
                <w:rFonts w:ascii="David" w:hAnsi="David"/>
                <w:b/>
                <w:bCs/>
                <w:rtl/>
              </w:rPr>
            </w:pPr>
          </w:p>
        </w:tc>
      </w:tr>
      <w:tr w:rsidR="00327D42" w:rsidTr="00327D42">
        <w:tc>
          <w:tcPr>
            <w:tcW w:w="3246" w:type="dxa"/>
          </w:tcPr>
          <w:p w:rsidR="00327D42" w:rsidRDefault="00F94382">
            <w:pPr>
              <w:suppressLineNumbers/>
              <w:rPr>
                <w:rFonts w:ascii="David" w:eastAsia="David" w:hAnsi="David"/>
                <w:b/>
                <w:bCs/>
                <w:rtl/>
              </w:rPr>
            </w:pPr>
          </w:p>
          <w:p w:rsidR="00327D42" w:rsidRDefault="0000123F">
            <w:pPr>
              <w:suppressLineNumbers/>
              <w:rPr>
                <w:rFonts w:ascii="David" w:eastAsia="David" w:hAnsi="David"/>
                <w:b/>
                <w:bCs/>
                <w:u w:val="single"/>
                <w:rtl/>
              </w:rPr>
            </w:pPr>
            <w:r>
              <w:rPr>
                <w:rFonts w:ascii="David" w:eastAsia="David" w:hAnsi="David" w:hint="cs"/>
                <w:b/>
                <w:bCs/>
                <w:u w:val="single"/>
                <w:rtl/>
              </w:rPr>
              <w:t>המערערת</w:t>
            </w:r>
          </w:p>
        </w:tc>
        <w:tc>
          <w:tcPr>
            <w:tcW w:w="5734" w:type="dxa"/>
          </w:tcPr>
          <w:p w:rsidR="00327D42" w:rsidRDefault="00F94382">
            <w:pPr>
              <w:suppressLineNumbers/>
              <w:rPr>
                <w:b/>
                <w:bCs/>
                <w:rtl/>
              </w:rPr>
            </w:pPr>
          </w:p>
          <w:p w:rsidR="0000123F" w:rsidRDefault="00CF1701" w:rsidP="0000123F">
            <w:pPr>
              <w:suppressLineNumbers/>
              <w:rPr>
                <w:rtl/>
              </w:rPr>
            </w:pPr>
            <w:r>
              <w:rPr>
                <w:rFonts w:ascii="David" w:eastAsia="David" w:hAnsi="David" w:hint="cs"/>
                <w:b/>
                <w:bCs/>
                <w:rtl/>
              </w:rPr>
              <w:t xml:space="preserve"> א' ג'</w:t>
            </w:r>
          </w:p>
          <w:p w:rsidR="0000123F" w:rsidRPr="0000123F" w:rsidRDefault="0000123F" w:rsidP="0000123F">
            <w:pPr>
              <w:suppressLineNumbers/>
              <w:rPr>
                <w:b/>
                <w:bCs/>
                <w:rtl/>
              </w:rPr>
            </w:pPr>
            <w:r>
              <w:rPr>
                <w:rFonts w:hint="cs"/>
                <w:rtl/>
              </w:rPr>
              <w:t xml:space="preserve"> </w:t>
            </w:r>
            <w:r w:rsidRPr="0000123F">
              <w:rPr>
                <w:rFonts w:hint="cs"/>
                <w:b/>
                <w:bCs/>
                <w:rtl/>
              </w:rPr>
              <w:t>ע"י ב"כ עוה"ד ס. עלי ואח'</w:t>
            </w:r>
          </w:p>
          <w:p w:rsidR="00327D42" w:rsidRDefault="00F94382">
            <w:pPr>
              <w:suppressLineNumbers/>
              <w:rPr>
                <w:rFonts w:ascii="David" w:eastAsia="David" w:hAnsi="David"/>
                <w:b/>
                <w:bCs/>
                <w:rtl/>
              </w:rPr>
            </w:pPr>
          </w:p>
          <w:p w:rsidR="00083FFC" w:rsidRDefault="00083FFC">
            <w:pPr>
              <w:suppressLineNumbers/>
              <w:rPr>
                <w:rFonts w:ascii="David" w:eastAsia="David" w:hAnsi="David"/>
                <w:b/>
                <w:bCs/>
              </w:rPr>
            </w:pPr>
          </w:p>
        </w:tc>
      </w:tr>
      <w:tr w:rsidR="00327D42" w:rsidTr="00327D42">
        <w:tc>
          <w:tcPr>
            <w:tcW w:w="8980" w:type="dxa"/>
            <w:gridSpan w:val="2"/>
          </w:tcPr>
          <w:p w:rsidR="00327D42" w:rsidRDefault="0000123F">
            <w:pPr>
              <w:suppressLineNumbers/>
              <w:jc w:val="center"/>
              <w:rPr>
                <w:rFonts w:ascii="David" w:eastAsia="David" w:hAnsi="David"/>
                <w:b/>
                <w:bCs/>
                <w:rtl/>
              </w:rPr>
            </w:pPr>
            <w:r>
              <w:rPr>
                <w:rFonts w:ascii="David" w:eastAsia="David" w:hAnsi="David" w:hint="cs"/>
                <w:b/>
                <w:bCs/>
                <w:rtl/>
              </w:rPr>
              <w:t>נגד</w:t>
            </w:r>
          </w:p>
          <w:p w:rsidR="00327D42" w:rsidRDefault="00F94382">
            <w:pPr>
              <w:suppressLineNumbers/>
              <w:rPr>
                <w:rFonts w:ascii="David" w:eastAsia="David" w:hAnsi="David"/>
                <w:b/>
                <w:bCs/>
                <w:rtl/>
              </w:rPr>
            </w:pPr>
          </w:p>
          <w:p w:rsidR="00083FFC" w:rsidRDefault="00083FFC">
            <w:pPr>
              <w:suppressLineNumbers/>
              <w:rPr>
                <w:rFonts w:ascii="David" w:eastAsia="David" w:hAnsi="David"/>
                <w:b/>
                <w:bCs/>
                <w:rtl/>
              </w:rPr>
            </w:pPr>
          </w:p>
        </w:tc>
      </w:tr>
      <w:tr w:rsidR="00327D42" w:rsidTr="00327D42">
        <w:trPr>
          <w:trHeight w:val="740"/>
        </w:trPr>
        <w:tc>
          <w:tcPr>
            <w:tcW w:w="3246" w:type="dxa"/>
            <w:hideMark/>
          </w:tcPr>
          <w:p w:rsidR="00327D42" w:rsidRDefault="0000123F">
            <w:pPr>
              <w:suppressLineNumbers/>
              <w:rPr>
                <w:rFonts w:ascii="David" w:eastAsia="David" w:hAnsi="David"/>
                <w:b/>
                <w:bCs/>
                <w:u w:val="single"/>
                <w:rtl/>
              </w:rPr>
            </w:pPr>
            <w:r>
              <w:rPr>
                <w:rFonts w:ascii="David" w:eastAsia="David" w:hAnsi="David" w:hint="cs"/>
                <w:b/>
                <w:bCs/>
                <w:u w:val="single"/>
                <w:rtl/>
              </w:rPr>
              <w:t>המשיב</w:t>
            </w:r>
          </w:p>
        </w:tc>
        <w:tc>
          <w:tcPr>
            <w:tcW w:w="5734" w:type="dxa"/>
            <w:hideMark/>
          </w:tcPr>
          <w:p w:rsidR="00327D42" w:rsidRDefault="00CF1701" w:rsidP="0000123F">
            <w:pPr>
              <w:suppressLineNumbers/>
              <w:rPr>
                <w:rFonts w:ascii="David" w:eastAsia="David" w:hAnsi="David"/>
                <w:b/>
                <w:bCs/>
                <w:rtl/>
              </w:rPr>
            </w:pPr>
            <w:r>
              <w:rPr>
                <w:rFonts w:ascii="David" w:eastAsia="David" w:hAnsi="David" w:hint="cs"/>
                <w:b/>
                <w:bCs/>
                <w:rtl/>
              </w:rPr>
              <w:t xml:space="preserve"> י' ס'</w:t>
            </w:r>
            <w:r w:rsidR="0000123F">
              <w:rPr>
                <w:rFonts w:ascii="David" w:eastAsia="David" w:hAnsi="David" w:hint="cs"/>
                <w:b/>
                <w:bCs/>
                <w:rtl/>
              </w:rPr>
              <w:t xml:space="preserve"> </w:t>
            </w:r>
          </w:p>
        </w:tc>
      </w:tr>
    </w:tbl>
    <w:p w:rsidR="00083FFC" w:rsidRDefault="00083FFC" w:rsidP="00327D42">
      <w:pPr>
        <w:spacing w:line="360" w:lineRule="auto"/>
        <w:jc w:val="both"/>
        <w:rPr>
          <w:rtl/>
        </w:rPr>
      </w:pPr>
    </w:p>
    <w:p w:rsidR="00327D42" w:rsidRDefault="0000123F" w:rsidP="00327D42">
      <w:pPr>
        <w:spacing w:line="360" w:lineRule="auto"/>
        <w:jc w:val="both"/>
        <w:rPr>
          <w:rFonts w:ascii="David" w:eastAsia="David" w:hAnsi="David"/>
          <w:rtl/>
        </w:rPr>
      </w:pPr>
      <w:r>
        <w:rPr>
          <w:rFonts w:hint="cs"/>
          <w:rtl/>
        </w:rPr>
        <w:t>ערעור על פסק דינו של בית משפט לענייני משפחה בחיפה (כב' השופטת, ס. נשיאה אלה מירז) בתיק תלה"מ 3310-07-17, 33269-07-17, 5773-11-17 מיום 2.6.2022.</w:t>
      </w:r>
    </w:p>
    <w:p w:rsidR="001434F7" w:rsidRDefault="00F94382">
      <w:pPr>
        <w:rPr>
          <w:rtl/>
        </w:rPr>
      </w:pPr>
    </w:p>
    <w:p w:rsidR="00083FFC" w:rsidRDefault="00083FFC"/>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rsidP="0000123F">
            <w:pPr>
              <w:bidi w:val="0"/>
              <w:jc w:val="center"/>
              <w:rPr>
                <w:rFonts w:ascii="Arial" w:hAnsi="Arial"/>
                <w:b/>
                <w:bCs/>
                <w:noProof w:val="0"/>
                <w:sz w:val="28"/>
                <w:szCs w:val="28"/>
                <w:u w:val="single"/>
                <w:rtl/>
              </w:rPr>
            </w:pPr>
            <w:r>
              <w:rPr>
                <w:rFonts w:ascii="Arial" w:hAnsi="Arial" w:hint="cs"/>
                <w:b/>
                <w:bCs/>
                <w:noProof w:val="0"/>
                <w:sz w:val="28"/>
                <w:szCs w:val="28"/>
                <w:u w:val="single"/>
                <w:rtl/>
              </w:rPr>
              <w:t>פסק</w:t>
            </w:r>
            <w:r w:rsidR="0000123F">
              <w:rPr>
                <w:rFonts w:ascii="Arial" w:hAnsi="Arial" w:hint="cs"/>
                <w:b/>
                <w:bCs/>
                <w:noProof w:val="0"/>
                <w:sz w:val="28"/>
                <w:szCs w:val="28"/>
                <w:u w:val="single"/>
                <w:rtl/>
              </w:rPr>
              <w:t>-</w:t>
            </w:r>
            <w:r>
              <w:rPr>
                <w:rFonts w:ascii="Arial" w:hAnsi="Arial" w:hint="cs"/>
                <w:b/>
                <w:bCs/>
                <w:noProof w:val="0"/>
                <w:sz w:val="28"/>
                <w:szCs w:val="28"/>
                <w:u w:val="single"/>
                <w:rtl/>
              </w:rPr>
              <w:t>דין</w:t>
            </w:r>
          </w:p>
          <w:p w:rsidR="00D44968" w:rsidRPr="00D44968" w:rsidRDefault="00D44968" w:rsidP="00D44968">
            <w:pPr>
              <w:bidi w:val="0"/>
              <w:jc w:val="center"/>
              <w:rPr>
                <w:rFonts w:ascii="Arial" w:hAnsi="Arial"/>
                <w:b/>
                <w:bCs/>
                <w:noProof w:val="0"/>
                <w:sz w:val="28"/>
                <w:szCs w:val="28"/>
                <w:u w:val="single"/>
              </w:rPr>
            </w:pPr>
          </w:p>
        </w:tc>
      </w:tr>
    </w:tbl>
    <w:p w:rsidR="00083FFC" w:rsidRDefault="00083FFC" w:rsidP="0000123F">
      <w:pPr>
        <w:rPr>
          <w:rFonts w:ascii="David" w:hAnsi="David"/>
          <w:b/>
          <w:bCs/>
          <w:u w:val="single"/>
          <w:rtl/>
        </w:rPr>
      </w:pPr>
      <w:bookmarkStart w:id="1" w:name="NGCSBookmark"/>
      <w:bookmarkEnd w:id="1"/>
    </w:p>
    <w:p w:rsidR="0000123F" w:rsidRDefault="0000123F" w:rsidP="0000123F">
      <w:pPr>
        <w:rPr>
          <w:rFonts w:ascii="David" w:hAnsi="David"/>
          <w:b/>
          <w:bCs/>
          <w:u w:val="single"/>
          <w:rtl/>
        </w:rPr>
      </w:pPr>
      <w:r>
        <w:rPr>
          <w:rFonts w:ascii="David" w:hAnsi="David" w:hint="cs"/>
          <w:b/>
          <w:bCs/>
          <w:u w:val="single"/>
          <w:rtl/>
        </w:rPr>
        <w:t>השופט ס.ג'יוסי [אב"ד]</w:t>
      </w:r>
    </w:p>
    <w:p w:rsidR="00065BDD" w:rsidRPr="00065BDD" w:rsidRDefault="00065BDD" w:rsidP="00065BDD">
      <w:pPr>
        <w:spacing w:after="160" w:line="256" w:lineRule="auto"/>
        <w:rPr>
          <w:rFonts w:ascii="David" w:eastAsia="Calibri" w:hAnsi="David"/>
          <w:b/>
          <w:bCs/>
          <w:noProof w:val="0"/>
          <w:u w:val="single"/>
          <w:rtl/>
        </w:rPr>
      </w:pPr>
    </w:p>
    <w:p w:rsidR="00065BDD" w:rsidRPr="00065BDD" w:rsidRDefault="00065BDD" w:rsidP="00065BDD">
      <w:pPr>
        <w:spacing w:after="160" w:line="360" w:lineRule="auto"/>
        <w:jc w:val="both"/>
        <w:rPr>
          <w:rFonts w:ascii="David" w:eastAsia="Calibri" w:hAnsi="David"/>
          <w:noProof w:val="0"/>
          <w:rtl/>
        </w:rPr>
      </w:pPr>
      <w:r w:rsidRPr="00065BDD">
        <w:rPr>
          <w:rFonts w:ascii="David" w:eastAsia="Calibri" w:hAnsi="David"/>
          <w:noProof w:val="0"/>
          <w:rtl/>
        </w:rPr>
        <w:t xml:space="preserve">בפנינו ערעור על פסק-דינו של בית משפט לענייני משפחה בחיפה (כב' סגנית הנשיאה, השופטת א. מירז) ב-תלה"מ 33310-07-17, מיום 02.06.2022. </w:t>
      </w:r>
    </w:p>
    <w:p w:rsidR="00065BDD" w:rsidRPr="00065BDD" w:rsidRDefault="00065BDD" w:rsidP="00065BDD">
      <w:pPr>
        <w:spacing w:after="160" w:line="360" w:lineRule="auto"/>
        <w:jc w:val="both"/>
        <w:rPr>
          <w:rFonts w:ascii="David" w:eastAsia="Calibri" w:hAnsi="David"/>
          <w:noProof w:val="0"/>
          <w:rtl/>
        </w:rPr>
      </w:pPr>
    </w:p>
    <w:p w:rsidR="00065BDD" w:rsidRPr="00065BDD" w:rsidRDefault="00065BDD" w:rsidP="00065BDD">
      <w:pPr>
        <w:spacing w:after="160" w:line="360" w:lineRule="auto"/>
        <w:jc w:val="both"/>
        <w:rPr>
          <w:rFonts w:ascii="David" w:eastAsia="Calibri" w:hAnsi="David"/>
          <w:b/>
          <w:bCs/>
          <w:noProof w:val="0"/>
          <w:u w:val="single"/>
          <w:rtl/>
        </w:rPr>
      </w:pPr>
      <w:r w:rsidRPr="00065BDD">
        <w:rPr>
          <w:rFonts w:ascii="David" w:eastAsia="Calibri" w:hAnsi="David"/>
          <w:b/>
          <w:bCs/>
          <w:noProof w:val="0"/>
          <w:u w:val="single"/>
          <w:rtl/>
        </w:rPr>
        <w:t>הנסיבות הצריכות לעניין</w:t>
      </w:r>
    </w:p>
    <w:p w:rsidR="00065BDD" w:rsidRPr="00065BDD" w:rsidRDefault="00065BDD" w:rsidP="00065BDD">
      <w:pPr>
        <w:spacing w:after="160" w:line="360" w:lineRule="auto"/>
        <w:jc w:val="both"/>
        <w:rPr>
          <w:rFonts w:ascii="David" w:eastAsia="Calibri" w:hAnsi="David"/>
          <w:b/>
          <w:bCs/>
          <w:noProof w:val="0"/>
          <w:u w:val="single"/>
          <w:rtl/>
        </w:rPr>
      </w:pPr>
    </w:p>
    <w:p w:rsidR="00065BDD" w:rsidRPr="00065BDD" w:rsidRDefault="00065BDD" w:rsidP="00CF1701">
      <w:pPr>
        <w:numPr>
          <w:ilvl w:val="0"/>
          <w:numId w:val="1"/>
        </w:numPr>
        <w:spacing w:after="160" w:line="360" w:lineRule="auto"/>
        <w:contextualSpacing/>
        <w:jc w:val="both"/>
        <w:rPr>
          <w:rFonts w:ascii="Arial" w:hAnsi="Arial"/>
          <w:rtl/>
        </w:rPr>
      </w:pPr>
      <w:r w:rsidRPr="00065BDD">
        <w:rPr>
          <w:rFonts w:ascii="Arial" w:hAnsi="Arial"/>
          <w:rtl/>
        </w:rPr>
        <w:t>הצדדים בני העדה</w:t>
      </w:r>
      <w:r w:rsidR="00CF1701">
        <w:rPr>
          <w:rFonts w:ascii="Arial" w:hAnsi="Arial" w:hint="cs"/>
          <w:rtl/>
        </w:rPr>
        <w:t>-------</w:t>
      </w:r>
      <w:r w:rsidRPr="00065BDD">
        <w:rPr>
          <w:rFonts w:ascii="Arial" w:hAnsi="Arial"/>
          <w:rtl/>
        </w:rPr>
        <w:t xml:space="preserve">, נישאו לפי הדין </w:t>
      </w:r>
      <w:r w:rsidR="00CF1701">
        <w:rPr>
          <w:rFonts w:ascii="Arial" w:hAnsi="Arial" w:hint="cs"/>
          <w:rtl/>
        </w:rPr>
        <w:t>-----</w:t>
      </w:r>
      <w:r w:rsidRPr="00065BDD">
        <w:rPr>
          <w:rFonts w:ascii="Arial" w:hAnsi="Arial"/>
          <w:rtl/>
        </w:rPr>
        <w:t>ביום</w:t>
      </w:r>
      <w:r w:rsidR="00CF1701">
        <w:rPr>
          <w:rFonts w:ascii="Arial" w:hAnsi="Arial" w:hint="cs"/>
          <w:rtl/>
        </w:rPr>
        <w:t>00</w:t>
      </w:r>
      <w:r w:rsidRPr="00065BDD">
        <w:rPr>
          <w:rFonts w:ascii="Arial" w:hAnsi="Arial"/>
          <w:rtl/>
        </w:rPr>
        <w:t xml:space="preserve">.03.2002 והתגרשו בבית הדין </w:t>
      </w:r>
      <w:r w:rsidR="00CF1701">
        <w:rPr>
          <w:rFonts w:ascii="Arial" w:hAnsi="Arial" w:hint="cs"/>
          <w:rtl/>
        </w:rPr>
        <w:t>-----</w:t>
      </w:r>
      <w:r w:rsidRPr="00065BDD">
        <w:rPr>
          <w:rFonts w:ascii="Arial" w:hAnsi="Arial"/>
          <w:rtl/>
        </w:rPr>
        <w:t>ביום 0</w:t>
      </w:r>
      <w:r w:rsidR="00CF1701">
        <w:rPr>
          <w:rFonts w:ascii="Arial" w:hAnsi="Arial" w:hint="cs"/>
          <w:rtl/>
        </w:rPr>
        <w:t>0</w:t>
      </w:r>
      <w:r w:rsidRPr="00065BDD">
        <w:rPr>
          <w:rFonts w:ascii="Arial" w:hAnsi="Arial"/>
          <w:rtl/>
        </w:rPr>
        <w:t>.06.2018. מנישואיהם נולד</w:t>
      </w:r>
      <w:r w:rsidR="00CF1701">
        <w:rPr>
          <w:rFonts w:ascii="Arial" w:hAnsi="Arial" w:hint="cs"/>
          <w:rtl/>
        </w:rPr>
        <w:t>/ה</w:t>
      </w:r>
      <w:r w:rsidRPr="00065BDD">
        <w:rPr>
          <w:rFonts w:ascii="Arial" w:hAnsi="Arial"/>
          <w:rtl/>
        </w:rPr>
        <w:t xml:space="preserve"> הקטין</w:t>
      </w:r>
      <w:r w:rsidR="00CF1701">
        <w:rPr>
          <w:rFonts w:ascii="Arial" w:hAnsi="Arial" w:hint="cs"/>
          <w:rtl/>
        </w:rPr>
        <w:t>/ה</w:t>
      </w:r>
      <w:r w:rsidRPr="00065BDD">
        <w:rPr>
          <w:rFonts w:ascii="Arial" w:hAnsi="Arial"/>
          <w:rtl/>
        </w:rPr>
        <w:t>, יליד</w:t>
      </w:r>
      <w:r w:rsidR="00CF1701">
        <w:rPr>
          <w:rFonts w:ascii="Arial" w:hAnsi="Arial" w:hint="cs"/>
          <w:rtl/>
        </w:rPr>
        <w:t>/ת ------</w:t>
      </w:r>
      <w:r w:rsidRPr="00065BDD">
        <w:rPr>
          <w:rFonts w:ascii="Arial" w:hAnsi="Arial"/>
          <w:rtl/>
        </w:rPr>
        <w:t xml:space="preserve">. </w:t>
      </w:r>
    </w:p>
    <w:p w:rsidR="00065BDD" w:rsidRPr="00065BDD" w:rsidRDefault="00065BDD" w:rsidP="00065BDD">
      <w:pPr>
        <w:spacing w:line="360" w:lineRule="auto"/>
        <w:ind w:left="-426"/>
        <w:contextualSpacing/>
        <w:jc w:val="both"/>
        <w:rPr>
          <w:rFonts w:ascii="Arial" w:hAnsi="Arial"/>
          <w:noProof w:val="0"/>
        </w:rPr>
      </w:pPr>
    </w:p>
    <w:p w:rsidR="00065BDD" w:rsidRPr="00065BDD" w:rsidRDefault="00065BDD" w:rsidP="00CF1701">
      <w:pPr>
        <w:numPr>
          <w:ilvl w:val="0"/>
          <w:numId w:val="1"/>
        </w:numPr>
        <w:spacing w:after="160" w:line="360" w:lineRule="auto"/>
        <w:contextualSpacing/>
        <w:jc w:val="both"/>
        <w:rPr>
          <w:rFonts w:ascii="Arial" w:hAnsi="Arial"/>
          <w:noProof w:val="0"/>
          <w:rtl/>
        </w:rPr>
      </w:pPr>
      <w:r w:rsidRPr="00065BDD">
        <w:rPr>
          <w:rFonts w:ascii="Arial" w:hAnsi="Arial"/>
          <w:noProof w:val="0"/>
          <w:rtl/>
        </w:rPr>
        <w:lastRenderedPageBreak/>
        <w:t>המערערת עובדת כ</w:t>
      </w:r>
      <w:r w:rsidR="00CF1701">
        <w:rPr>
          <w:rFonts w:ascii="Arial" w:hAnsi="Arial" w:hint="cs"/>
          <w:noProof w:val="0"/>
          <w:rtl/>
        </w:rPr>
        <w:t>-------------</w:t>
      </w:r>
      <w:r w:rsidRPr="00065BDD">
        <w:rPr>
          <w:rFonts w:ascii="Arial" w:hAnsi="Arial"/>
          <w:noProof w:val="0"/>
          <w:rtl/>
        </w:rPr>
        <w:t xml:space="preserve"> והמשיב עובד</w:t>
      </w:r>
      <w:r w:rsidR="00CF1701">
        <w:rPr>
          <w:rFonts w:ascii="Arial" w:hAnsi="Arial" w:hint="cs"/>
          <w:noProof w:val="0"/>
          <w:rtl/>
        </w:rPr>
        <w:t xml:space="preserve"> כ-------------</w:t>
      </w:r>
      <w:r w:rsidRPr="00065BDD">
        <w:rPr>
          <w:rFonts w:ascii="Arial" w:hAnsi="Arial"/>
          <w:noProof w:val="0"/>
          <w:rtl/>
        </w:rPr>
        <w:t>. הצדדים הסתכסכו בשלהי שנת 2016, עת שבו להתגורר בארץ,  לאחר שהות ממושכת ב</w:t>
      </w:r>
      <w:r w:rsidR="00CF1701">
        <w:rPr>
          <w:rFonts w:ascii="Arial" w:hAnsi="Arial" w:hint="cs"/>
          <w:noProof w:val="0"/>
          <w:rtl/>
        </w:rPr>
        <w:t>------</w:t>
      </w:r>
      <w:r w:rsidRPr="00065BDD">
        <w:rPr>
          <w:rFonts w:ascii="Arial" w:hAnsi="Arial"/>
          <w:noProof w:val="0"/>
          <w:rtl/>
        </w:rPr>
        <w:t>. המערערת יחסה למשיב, בין היתר, הפעלת אלימות כלכלית ופיזית קשה כלפיה, ובין הצדדים התקיימו בפני בית משפט הליכים למתן צווי-הגנה, ששימשו אכסניה להסדרים זמניים לגבי חלוקת השימוש בבית המ</w:t>
      </w:r>
      <w:r w:rsidR="00CF1701">
        <w:rPr>
          <w:rFonts w:ascii="Arial" w:hAnsi="Arial"/>
          <w:noProof w:val="0"/>
          <w:rtl/>
        </w:rPr>
        <w:t>גורים וחלוקת-זמני השהות עם הקטי</w:t>
      </w:r>
      <w:r w:rsidR="00CF1701">
        <w:rPr>
          <w:rFonts w:ascii="Arial" w:hAnsi="Arial" w:hint="cs"/>
          <w:noProof w:val="0"/>
          <w:rtl/>
        </w:rPr>
        <w:t>ן/ה</w:t>
      </w:r>
      <w:r w:rsidRPr="00065BDD">
        <w:rPr>
          <w:rFonts w:ascii="Arial" w:hAnsi="Arial"/>
          <w:noProof w:val="0"/>
          <w:rtl/>
        </w:rPr>
        <w:t xml:space="preserve">. </w:t>
      </w:r>
    </w:p>
    <w:p w:rsidR="00065BDD" w:rsidRPr="00065BDD" w:rsidRDefault="00065BDD" w:rsidP="00065BDD">
      <w:pPr>
        <w:spacing w:line="360" w:lineRule="auto"/>
        <w:ind w:left="720"/>
        <w:contextualSpacing/>
        <w:jc w:val="both"/>
        <w:rPr>
          <w:rFonts w:ascii="Arial" w:hAnsi="Arial"/>
          <w:noProof w:val="0"/>
          <w:rtl/>
        </w:rPr>
      </w:pPr>
    </w:p>
    <w:p w:rsidR="00065BDD" w:rsidRPr="00065BDD" w:rsidRDefault="00065BDD" w:rsidP="00CF1701">
      <w:pPr>
        <w:numPr>
          <w:ilvl w:val="0"/>
          <w:numId w:val="1"/>
        </w:numPr>
        <w:spacing w:after="160" w:line="360" w:lineRule="auto"/>
        <w:contextualSpacing/>
        <w:jc w:val="both"/>
        <w:rPr>
          <w:rFonts w:ascii="Arial" w:hAnsi="Arial"/>
          <w:noProof w:val="0"/>
          <w:rtl/>
        </w:rPr>
      </w:pPr>
      <w:r w:rsidRPr="00065BDD">
        <w:rPr>
          <w:rFonts w:ascii="Arial" w:hAnsi="Arial"/>
          <w:noProof w:val="0"/>
          <w:rtl/>
        </w:rPr>
        <w:t>בשנת 2017 הגישה המערערת נגד המשיב מספר תביעות (תלה"מ 33269-07-17 תביעה בעניין האחריות-ההורית וזמני-השהות (להלן: "</w:t>
      </w:r>
      <w:r w:rsidRPr="00065BDD">
        <w:rPr>
          <w:rFonts w:ascii="Arial" w:hAnsi="Arial"/>
          <w:b/>
          <w:bCs/>
          <w:noProof w:val="0"/>
          <w:rtl/>
        </w:rPr>
        <w:t>התביעה הראשונה</w:t>
      </w:r>
      <w:r w:rsidRPr="00065BDD">
        <w:rPr>
          <w:rFonts w:ascii="Arial" w:hAnsi="Arial"/>
          <w:noProof w:val="0"/>
          <w:rtl/>
        </w:rPr>
        <w:t>") תלה"מ 57773-11-17 תביעה לפסיקת מזונות הקטין (להלן: "</w:t>
      </w:r>
      <w:r w:rsidRPr="00065BDD">
        <w:rPr>
          <w:rFonts w:ascii="Arial" w:hAnsi="Arial"/>
          <w:b/>
          <w:bCs/>
          <w:noProof w:val="0"/>
          <w:rtl/>
        </w:rPr>
        <w:t>התביעה השנייה</w:t>
      </w:r>
      <w:r w:rsidRPr="00065BDD">
        <w:rPr>
          <w:rFonts w:ascii="Arial" w:hAnsi="Arial"/>
          <w:noProof w:val="0"/>
          <w:rtl/>
        </w:rPr>
        <w:t>"), תלה"מ 33310-07-17 תביעה לעניין הרכוש). בעוד ההליכים בין הצדדים מתבררים, עשו הצדדים שימוש במפלסים השונים בבית המגורים,  הדברים הפכו מורכבים אף יותר עם חלוף הזמן, לאחר שהמשיב נישא לבחירת ליבו והתגורר עם אשתו החדשה מעל למפלס בו התגוררה המערערת, שאף היא התארסה לאחר ונישאה לו. בעיצומה של שנת 2020 עברה המערערת להתגורר עם בעלה והקטין בכפר</w:t>
      </w:r>
      <w:r w:rsidR="00CF1701">
        <w:rPr>
          <w:rFonts w:ascii="Arial" w:hAnsi="Arial" w:hint="cs"/>
          <w:noProof w:val="0"/>
          <w:rtl/>
        </w:rPr>
        <w:t>---</w:t>
      </w:r>
      <w:r w:rsidRPr="00065BDD">
        <w:rPr>
          <w:rFonts w:ascii="Arial" w:hAnsi="Arial"/>
          <w:noProof w:val="0"/>
          <w:rtl/>
        </w:rPr>
        <w:t>.</w:t>
      </w:r>
    </w:p>
    <w:p w:rsidR="00065BDD" w:rsidRPr="00065BDD" w:rsidRDefault="00065BDD" w:rsidP="00065BDD">
      <w:pPr>
        <w:spacing w:after="160" w:line="360" w:lineRule="auto"/>
        <w:jc w:val="both"/>
        <w:rPr>
          <w:rFonts w:ascii="Arial" w:eastAsia="Calibri" w:hAnsi="Arial" w:cs="Arial"/>
          <w:noProof w:val="0"/>
          <w:sz w:val="22"/>
          <w:szCs w:val="22"/>
          <w:rtl/>
        </w:rPr>
      </w:pPr>
    </w:p>
    <w:p w:rsidR="00065BDD" w:rsidRPr="00065BDD" w:rsidRDefault="00065BDD" w:rsidP="00065BDD">
      <w:pPr>
        <w:spacing w:after="160" w:line="360" w:lineRule="auto"/>
        <w:jc w:val="both"/>
        <w:rPr>
          <w:rFonts w:ascii="David" w:eastAsia="Calibri" w:hAnsi="David"/>
          <w:b/>
          <w:bCs/>
          <w:noProof w:val="0"/>
          <w:u w:val="single"/>
          <w:rtl/>
        </w:rPr>
      </w:pPr>
      <w:r w:rsidRPr="00065BDD">
        <w:rPr>
          <w:rFonts w:ascii="David" w:eastAsia="Calibri" w:hAnsi="David"/>
          <w:b/>
          <w:bCs/>
          <w:noProof w:val="0"/>
          <w:u w:val="single"/>
          <w:rtl/>
        </w:rPr>
        <w:t>פסק-דינו של בית משפט קמא</w:t>
      </w:r>
    </w:p>
    <w:p w:rsidR="00065BDD" w:rsidRPr="00065BDD" w:rsidRDefault="00065BDD" w:rsidP="00065BDD">
      <w:pPr>
        <w:spacing w:after="160" w:line="360" w:lineRule="auto"/>
        <w:jc w:val="both"/>
        <w:rPr>
          <w:rFonts w:ascii="David" w:eastAsia="Calibri" w:hAnsi="David"/>
          <w:b/>
          <w:bCs/>
          <w:noProof w:val="0"/>
          <w:u w:val="single"/>
          <w:rtl/>
        </w:rPr>
      </w:pPr>
    </w:p>
    <w:p w:rsidR="00065BDD" w:rsidRPr="00065BDD" w:rsidRDefault="00065BDD" w:rsidP="00065BDD">
      <w:pPr>
        <w:numPr>
          <w:ilvl w:val="0"/>
          <w:numId w:val="1"/>
        </w:numPr>
        <w:spacing w:after="160" w:line="360" w:lineRule="auto"/>
        <w:contextualSpacing/>
        <w:jc w:val="both"/>
        <w:rPr>
          <w:rFonts w:ascii="Arial" w:hAnsi="Arial"/>
          <w:noProof w:val="0"/>
          <w:rtl/>
        </w:rPr>
      </w:pPr>
      <w:r w:rsidRPr="00065BDD">
        <w:rPr>
          <w:rFonts w:ascii="Arial" w:hAnsi="Arial"/>
          <w:noProof w:val="0"/>
          <w:rtl/>
        </w:rPr>
        <w:t xml:space="preserve">בתביעה הראשונה נקבע, כי טובתו של הבן היא שהאחריות ההורית תינתן למערערת באופן קבוע, וכי חלוקת זמני-השהות המתקיימת בפועל תוסיף להתקיים, באין סעד אחר המבוקש על-ידי מי מן הצדדים. </w:t>
      </w:r>
    </w:p>
    <w:p w:rsidR="00065BDD" w:rsidRPr="00065BDD" w:rsidRDefault="00065BDD" w:rsidP="00065BDD">
      <w:pPr>
        <w:spacing w:line="360" w:lineRule="auto"/>
        <w:ind w:left="720"/>
        <w:contextualSpacing/>
        <w:jc w:val="both"/>
        <w:rPr>
          <w:rFonts w:ascii="Arial" w:hAnsi="Arial"/>
          <w:noProof w:val="0"/>
        </w:rPr>
      </w:pPr>
    </w:p>
    <w:p w:rsidR="00065BDD" w:rsidRPr="00065BDD" w:rsidRDefault="00065BDD" w:rsidP="00065BDD">
      <w:pPr>
        <w:numPr>
          <w:ilvl w:val="0"/>
          <w:numId w:val="1"/>
        </w:numPr>
        <w:spacing w:after="160" w:line="360" w:lineRule="auto"/>
        <w:contextualSpacing/>
        <w:jc w:val="both"/>
        <w:rPr>
          <w:rFonts w:ascii="David" w:hAnsi="David"/>
        </w:rPr>
      </w:pPr>
      <w:r w:rsidRPr="00065BDD">
        <w:rPr>
          <w:rFonts w:ascii="Arial" w:hAnsi="Arial"/>
          <w:noProof w:val="0"/>
          <w:rtl/>
        </w:rPr>
        <w:t>בעניין התביעה השנייה, דן בית משפט קמא בדין החל על הצדדים, וקבע את אבני-הבוחן השונות שעמדו לנגד עיניו בעת קביעת המזונות: באשר לצרכי הקטין נקבע, כי המערערת לא עמדה בנטל השכנוע בעניין הטענה שצרכיו עולים על סכום המינימום המוכר בפסיקה, וכי סכום זה הועמד על-ידי הפסיקה ברף הנמוך על סך 1,300 ₪ (ללא מדור והוצאות חריגות). עוד נקבע, כי ממוצע הכנסות המערערת נע בין</w:t>
      </w:r>
      <w:r w:rsidRPr="00065BDD">
        <w:rPr>
          <w:rFonts w:ascii="David" w:hAnsi="David"/>
          <w:rtl/>
        </w:rPr>
        <w:t xml:space="preserve"> 15,000 ₪ - 16,000 ₪ מידי חודש, וכי יש להעמיד את שיעור הכנסת המשיב על סך של כ- 10,200 ₪ מידי חודש.</w:t>
      </w:r>
    </w:p>
    <w:p w:rsidR="00065BDD" w:rsidRPr="00065BDD" w:rsidRDefault="00065BDD" w:rsidP="00065BDD">
      <w:pPr>
        <w:spacing w:line="360" w:lineRule="auto"/>
        <w:ind w:left="-426"/>
        <w:jc w:val="both"/>
        <w:rPr>
          <w:rFonts w:ascii="David" w:hAnsi="David"/>
          <w:noProof w:val="0"/>
          <w:lang w:eastAsia="he-IL"/>
        </w:rPr>
      </w:pPr>
    </w:p>
    <w:p w:rsidR="00065BDD" w:rsidRPr="00065BDD" w:rsidRDefault="00065BDD" w:rsidP="00065BDD">
      <w:pPr>
        <w:spacing w:line="360" w:lineRule="auto"/>
        <w:ind w:left="720"/>
        <w:contextualSpacing/>
        <w:jc w:val="both"/>
        <w:rPr>
          <w:rFonts w:ascii="David" w:hAnsi="David"/>
        </w:rPr>
      </w:pPr>
      <w:r w:rsidRPr="00065BDD">
        <w:rPr>
          <w:rFonts w:ascii="David" w:hAnsi="David"/>
          <w:rtl/>
        </w:rPr>
        <w:t xml:space="preserve">לסיכום, כך קבע בית משפט קמא, על המשיב לשלם לידי המערערת עבור מזונות הקטין סך של 1,300 ₪, ובנוסף דמי מדור ואחזקתו בסך 300 ₪, וסה"כ 1,600 ₪ מידי חודש. בנוסף נקבע, כי על הצדדים לשאת בחלקים שווים בהוצאות החריגות עבור הקטין, וכי בשים-לב </w:t>
      </w:r>
      <w:r w:rsidRPr="00065BDD">
        <w:rPr>
          <w:rFonts w:ascii="David" w:hAnsi="David"/>
          <w:rtl/>
        </w:rPr>
        <w:lastRenderedPageBreak/>
        <w:t>לנתוני השכר ולפער ההכנסות בין הצדדים, תחילתו של חיוב זה ממועד פסק-הדין, ללא חיוב רטרואקטיבי.</w:t>
      </w:r>
    </w:p>
    <w:p w:rsidR="00065BDD" w:rsidRPr="00065BDD" w:rsidRDefault="00065BDD" w:rsidP="00065BDD">
      <w:pPr>
        <w:spacing w:line="360" w:lineRule="auto"/>
        <w:ind w:left="720"/>
        <w:contextualSpacing/>
        <w:jc w:val="both"/>
        <w:rPr>
          <w:rFonts w:ascii="David" w:hAnsi="David"/>
          <w:rtl/>
        </w:rPr>
      </w:pPr>
    </w:p>
    <w:p w:rsidR="00065BDD" w:rsidRPr="00065BDD" w:rsidRDefault="00065BDD" w:rsidP="00065BDD">
      <w:pPr>
        <w:spacing w:line="360" w:lineRule="auto"/>
        <w:ind w:left="720"/>
        <w:contextualSpacing/>
        <w:jc w:val="both"/>
        <w:rPr>
          <w:rFonts w:ascii="David" w:hAnsi="David"/>
          <w:rtl/>
        </w:rPr>
      </w:pPr>
      <w:r w:rsidRPr="00065BDD">
        <w:rPr>
          <w:rFonts w:ascii="David" w:hAnsi="David"/>
          <w:rtl/>
        </w:rPr>
        <w:t>בסוגית איזון המשאבים מונה רואה-החשבון, נתן שטרנפלד, כמומחה מטעם בית המשפט (להלן: "</w:t>
      </w:r>
      <w:r w:rsidRPr="00065BDD">
        <w:rPr>
          <w:rFonts w:ascii="David" w:hAnsi="David"/>
          <w:b/>
          <w:bCs/>
          <w:rtl/>
        </w:rPr>
        <w:t>המומחה</w:t>
      </w:r>
      <w:r w:rsidRPr="00065BDD">
        <w:rPr>
          <w:rFonts w:ascii="David" w:hAnsi="David"/>
          <w:rtl/>
        </w:rPr>
        <w:t xml:space="preserve">"), ובהינתן שהצדדים לא חלקו על משך התקופה הרלוונטית לאיזון, ממועד הנישואין ביום 29.03.2002 ועד למועד הקרע שננקב ביום 15.03.2017. בית משפט קמא קבע בעניין זה, כי הסכום שהצטבר בחשבון המשותף למערערת והאב ז"ל, הוא סכום משותף לצדדים ויש לאזנו כדין וכאמור בחוות-הדעת הסופית של המומחה, ונתן תוקף של פסק-דין לחוות-דעת זו של המומחה, והורה על עריכת איזון מידי של הזכויות. </w:t>
      </w:r>
    </w:p>
    <w:p w:rsidR="00065BDD" w:rsidRPr="00065BDD" w:rsidRDefault="00065BDD" w:rsidP="00065BDD">
      <w:pPr>
        <w:spacing w:line="360" w:lineRule="auto"/>
        <w:ind w:left="720"/>
        <w:contextualSpacing/>
        <w:jc w:val="both"/>
        <w:rPr>
          <w:rFonts w:ascii="David" w:hAnsi="David"/>
          <w:rtl/>
        </w:rPr>
      </w:pPr>
    </w:p>
    <w:p w:rsidR="00065BDD" w:rsidRPr="00065BDD" w:rsidRDefault="00065BDD" w:rsidP="00065BDD">
      <w:pPr>
        <w:numPr>
          <w:ilvl w:val="0"/>
          <w:numId w:val="1"/>
        </w:numPr>
        <w:spacing w:after="160" w:line="360" w:lineRule="auto"/>
        <w:contextualSpacing/>
        <w:jc w:val="both"/>
        <w:rPr>
          <w:rFonts w:ascii="David" w:hAnsi="David"/>
          <w:rtl/>
        </w:rPr>
      </w:pPr>
      <w:r w:rsidRPr="00065BDD">
        <w:rPr>
          <w:rFonts w:ascii="David" w:hAnsi="David"/>
          <w:rtl/>
        </w:rPr>
        <w:t xml:space="preserve">לעניין בית המגורים של הצדדים והדירות שנבנו מעליו, ציין בית משפט קמא, כי לאחר נישואי הצדדים, הם עברו להתגורר בביתו של המשיב, אותו רכש טרם הנישואין. הבית כלל קומת מרתף וקומת קרקע בלבד. לימים, ובמהלך הנישואין, נבנו על הבית שלוש קומות נוספות, ברמות גימור שונות. </w:t>
      </w:r>
    </w:p>
    <w:p w:rsidR="00065BDD" w:rsidRPr="00065BDD" w:rsidRDefault="00065BDD" w:rsidP="00065BDD">
      <w:pPr>
        <w:spacing w:line="360" w:lineRule="auto"/>
        <w:ind w:left="-426"/>
        <w:contextualSpacing/>
        <w:jc w:val="both"/>
        <w:rPr>
          <w:rFonts w:ascii="David" w:hAnsi="David"/>
        </w:rPr>
      </w:pPr>
    </w:p>
    <w:p w:rsidR="00065BDD" w:rsidRPr="00065BDD" w:rsidRDefault="00065BDD" w:rsidP="00065BDD">
      <w:pPr>
        <w:spacing w:line="360" w:lineRule="auto"/>
        <w:ind w:left="720"/>
        <w:contextualSpacing/>
        <w:jc w:val="both"/>
        <w:rPr>
          <w:rFonts w:ascii="David" w:hAnsi="David"/>
          <w:rtl/>
        </w:rPr>
      </w:pPr>
      <w:r w:rsidRPr="00065BDD">
        <w:rPr>
          <w:rFonts w:ascii="David" w:hAnsi="David"/>
          <w:rtl/>
        </w:rPr>
        <w:t>בית משפט קמא הדגיש עובדות, שאינן שנויות במחלוקת, לפיהן זכויות הבעלות על החלקה היו מאז ומתמיד רשומות על שמו של המשיב בלבד, והוא רכש אותן בתנאים שיועדו לחיילים משוחררים בשנת 1990, כ – 12 שנים לפני הנישואין. בית המגורים, כולל קומת המרתף, נבנה על החלקה טרם נישואי הצדדים ובמהלך השנים 1994-1990. הצדדים נישאו בשנת 2002 ועברו להתגורר בבית המגורים. בשנת 2009, כך נקבע, החלה בנית דירות המגורים מעל לבית לצורך השקעה, לאחר שבחודש מרץ 2009 ניתן היתר בניה לבנית שתי קומות נוספות על הבית הקיים. לשם מימון הבניה נטלו הצדדים בחודש מאי 2009, משכנתא בשיעור 120,000 ₪, למשך 10 שנים, וכי במ</w:t>
      </w:r>
      <w:r w:rsidR="00CF1701">
        <w:rPr>
          <w:rFonts w:ascii="David" w:hAnsi="David"/>
          <w:rtl/>
        </w:rPr>
        <w:t>הלך התקופות בהן שהו הצדדים ב</w:t>
      </w:r>
      <w:r w:rsidR="00CF1701">
        <w:rPr>
          <w:rFonts w:ascii="David" w:hAnsi="David" w:hint="cs"/>
          <w:rtl/>
        </w:rPr>
        <w:t>-----</w:t>
      </w:r>
      <w:r w:rsidR="00CF1701">
        <w:rPr>
          <w:rFonts w:ascii="David" w:hAnsi="David"/>
          <w:rtl/>
        </w:rPr>
        <w:t xml:space="preserve"> בעקבות משרתו של האיש כ</w:t>
      </w:r>
      <w:r w:rsidR="00CF1701">
        <w:rPr>
          <w:rFonts w:ascii="David" w:hAnsi="David" w:hint="cs"/>
          <w:rtl/>
        </w:rPr>
        <w:t>-----</w:t>
      </w:r>
      <w:r w:rsidRPr="00065BDD">
        <w:rPr>
          <w:rFonts w:ascii="David" w:hAnsi="David"/>
          <w:rtl/>
        </w:rPr>
        <w:t xml:space="preserve"> – בין השנים 2008-2007; 2013-2010; 2016-2014 הושכרו בית המגורים ו/או הדירה בקומה א', לצדדים שלישיים.</w:t>
      </w:r>
    </w:p>
    <w:p w:rsidR="00065BDD" w:rsidRPr="00065BDD" w:rsidRDefault="00065BDD" w:rsidP="00065BDD">
      <w:pPr>
        <w:spacing w:line="360" w:lineRule="auto"/>
        <w:ind w:left="720"/>
        <w:contextualSpacing/>
        <w:jc w:val="both"/>
        <w:rPr>
          <w:rFonts w:ascii="David" w:hAnsi="David"/>
          <w:rt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חוות-דעת השמאי, מר פנחס שפירא, העמידה את השומות הבאות: שווי הבניין כולו – 2,420,000; שווי קומת הקרקע 700,000 ₪; שווי קיר תומך ומדרגות – 105,000 ₪; שווי קומה א' – 800,000 ₪; שווי קומה ב' – 650,000 ₪; שווי קומה ג' – 400,000 ₪; שווי שלושת הקומות 1,850,000 ₪.</w:t>
      </w:r>
    </w:p>
    <w:p w:rsidR="00065BDD" w:rsidRPr="00065BDD" w:rsidRDefault="00065BDD" w:rsidP="00065BDD">
      <w:pPr>
        <w:spacing w:after="160" w:line="360" w:lineRule="auto"/>
        <w:jc w:val="both"/>
        <w:rPr>
          <w:rFonts w:ascii="David" w:eastAsia="Calibri" w:hAnsi="David" w:cs="Arial"/>
          <w:noProof w:val="0"/>
          <w:sz w:val="22"/>
          <w:szCs w:val="22"/>
        </w:rPr>
      </w:pPr>
    </w:p>
    <w:p w:rsidR="00065BDD" w:rsidRPr="00065BDD" w:rsidRDefault="00065BDD" w:rsidP="00065BDD">
      <w:pPr>
        <w:numPr>
          <w:ilvl w:val="0"/>
          <w:numId w:val="1"/>
        </w:numPr>
        <w:spacing w:after="160" w:line="360" w:lineRule="auto"/>
        <w:contextualSpacing/>
        <w:jc w:val="both"/>
        <w:rPr>
          <w:rFonts w:ascii="David" w:hAnsi="David"/>
          <w:noProof w:val="0"/>
        </w:rPr>
      </w:pPr>
      <w:r w:rsidRPr="00065BDD">
        <w:rPr>
          <w:rFonts w:ascii="David" w:hAnsi="David"/>
          <w:rtl/>
        </w:rPr>
        <w:t>בית משפט קמא קבע, כי המערערת לא הניחה בסיס משפטי לטענתהּ לשותפות או לזכויות קנייניות בבית מתוקף חוק יחסי ממון, התשל"ג – 1973 (להלן: "</w:t>
      </w:r>
      <w:r w:rsidRPr="00065BDD">
        <w:rPr>
          <w:rFonts w:ascii="David" w:hAnsi="David"/>
          <w:b/>
          <w:bCs/>
          <w:rtl/>
        </w:rPr>
        <w:t>חוק יחסי ממון</w:t>
      </w:r>
      <w:r w:rsidRPr="00065BDD">
        <w:rPr>
          <w:rFonts w:ascii="David" w:hAnsi="David"/>
          <w:rtl/>
        </w:rPr>
        <w:t xml:space="preserve">") – בין </w:t>
      </w:r>
      <w:r w:rsidRPr="00065BDD">
        <w:rPr>
          <w:rFonts w:ascii="David" w:hAnsi="David"/>
          <w:rtl/>
        </w:rPr>
        <w:lastRenderedPageBreak/>
        <w:t>אם כיוונה להצהרה על זכותהּ הקניינית ובין אם כיוונה לזכותהּ לכאורה לקבלת מחצית משווי הנכס מתוקף בעלותה הנטענת, וכי טענותיה אף מנוגדות לרישום הזכויות בפנקס רישום המקרקעין.</w:t>
      </w:r>
    </w:p>
    <w:p w:rsidR="00065BDD" w:rsidRPr="00065BDD" w:rsidRDefault="00065BDD" w:rsidP="00065BDD">
      <w:pPr>
        <w:spacing w:line="360" w:lineRule="auto"/>
        <w:ind w:left="720"/>
        <w:contextualSpacing/>
        <w:jc w:val="both"/>
        <w:rPr>
          <w:rFonts w:ascii="David" w:hAnsi="David"/>
          <w:noProof w:val="0"/>
        </w:rPr>
      </w:pPr>
    </w:p>
    <w:p w:rsidR="00065BDD" w:rsidRPr="00065BDD" w:rsidRDefault="00065BDD" w:rsidP="00065BDD">
      <w:pPr>
        <w:spacing w:line="360" w:lineRule="auto"/>
        <w:ind w:left="720"/>
        <w:jc w:val="both"/>
        <w:rPr>
          <w:rFonts w:ascii="David" w:hAnsi="David"/>
          <w:noProof w:val="0"/>
          <w:lang w:eastAsia="he-IL"/>
        </w:rPr>
      </w:pPr>
      <w:r w:rsidRPr="00065BDD">
        <w:rPr>
          <w:rFonts w:ascii="David" w:hAnsi="David"/>
          <w:noProof w:val="0"/>
          <w:rtl/>
          <w:lang w:eastAsia="he-IL"/>
        </w:rPr>
        <w:t xml:space="preserve">יחד עם קביעה זו, דן בית משפט קמא בזכויות המערערת בבית המגורים מכוח דוקטרינת הנכס החיצוני, וקבע, כי נסיבות העניין שבפנינו, אינן תומכות באפשרות שהמערערת קנתה חלק בבית המגורים, על אף ששימש למגורי הצדדים. ראשית, כך נקבע, רכישת המגרש והקמת בית המגורים קדמו בשנים רבות לנישואין ולהכרות הצדדים בכלל. בנוסף נקבע, כי לא שולמה משכנתה עבור בית המגורים במהלך הנישואין, אלא עבור בניית שלוש הדירות. שלישית, בנוסף לאלה, נקבע, כי הצדדים אמנם התגוררו בבית המגורים, אך תקופת המגורים הייתה מקוטעת הואיל והצדדים התגוררו במשך תקופות ארוכות בקנדה במהלכן מרכז חייהם לא היה בישראל. </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Arial" w:hAnsi="Arial"/>
          <w:noProof w:val="0"/>
          <w:rtl/>
          <w:lang w:eastAsia="he-IL"/>
        </w:rPr>
      </w:pPr>
      <w:r w:rsidRPr="00065BDD">
        <w:rPr>
          <w:rFonts w:ascii="David" w:hAnsi="David"/>
          <w:noProof w:val="0"/>
          <w:rtl/>
          <w:lang w:eastAsia="he-IL"/>
        </w:rPr>
        <w:t>עוד ובנוסף קבע בית משפט קמא, כי לא הוכחה אווירה של שיתוף, וכי אף אין בידו לקבל את טענות המערערת לשיפוץ שנערך בבית המגורים הואיל והמערערת</w:t>
      </w:r>
      <w:r w:rsidRPr="00065BDD">
        <w:rPr>
          <w:rFonts w:ascii="Arial" w:hAnsi="Arial"/>
          <w:noProof w:val="0"/>
          <w:rtl/>
          <w:lang w:eastAsia="he-IL"/>
        </w:rPr>
        <w:t xml:space="preserve"> לא הוכיחה שבית המגורים לא היה ראוי למגורים, ולא הוכיחה שנערכו שיפוצים בבית המגורים ו/או המרתף לפני ו/או לאחר ו/או בעקבות נישואיהם; המערערת, כך נקבע, לא הוכיחה עוד את הטענה, לפיה עלות השיפוצים הייתה 200,000 ₪ ולא קרוב לכך; או לחלופין שהיא נשאה בהחזר חובות בשיעור 200,000 ₪.</w:t>
      </w:r>
    </w:p>
    <w:p w:rsidR="00065BDD" w:rsidRPr="00065BDD" w:rsidRDefault="00065BDD" w:rsidP="00065BDD">
      <w:pPr>
        <w:spacing w:line="360" w:lineRule="auto"/>
        <w:ind w:left="720"/>
        <w:jc w:val="both"/>
        <w:rPr>
          <w:rFonts w:ascii="Arial" w:hAnsi="Arial"/>
          <w:noProof w:val="0"/>
          <w:rtl/>
          <w:lang w:eastAsia="he-IL"/>
        </w:rPr>
      </w:pPr>
    </w:p>
    <w:p w:rsidR="00065BDD" w:rsidRPr="00065BDD" w:rsidRDefault="00065BDD" w:rsidP="00065BDD">
      <w:pPr>
        <w:numPr>
          <w:ilvl w:val="0"/>
          <w:numId w:val="1"/>
        </w:numPr>
        <w:spacing w:after="160" w:line="360" w:lineRule="auto"/>
        <w:jc w:val="both"/>
        <w:rPr>
          <w:rFonts w:ascii="David" w:hAnsi="David"/>
          <w:noProof w:val="0"/>
          <w:rtl/>
          <w:lang w:eastAsia="he-IL"/>
        </w:rPr>
      </w:pPr>
      <w:r w:rsidRPr="00065BDD">
        <w:rPr>
          <w:rFonts w:ascii="Arial" w:hAnsi="Arial"/>
          <w:noProof w:val="0"/>
          <w:rtl/>
          <w:lang w:eastAsia="he-IL"/>
        </w:rPr>
        <w:t>לעניין חלקה של המערערת בדירות נקבע, כי היא לא הצביעה על כספים אותם החזיקה, פרטיים או משותפים, ששימשו באופן ישיר לבניית שלוש הדירות. על אף שאין לשלול ההנחה שהכספים ששולמו על ידי המשיב ושימשו לבניה היו משותפים, בית משפט קמא ביסס את הקביעה לפיה המערערת ניהלה את כספהּ בנפרד מהאיש ומן התא-המשפחתי מן הראיות שהעמיד המשיב, שעה שהו</w:t>
      </w:r>
      <w:r w:rsidRPr="00065BDD">
        <w:rPr>
          <w:rFonts w:ascii="David" w:hAnsi="David"/>
          <w:noProof w:val="0"/>
          <w:rtl/>
          <w:lang w:eastAsia="he-IL"/>
        </w:rPr>
        <w:t>ּ</w:t>
      </w:r>
      <w:r w:rsidRPr="00065BDD">
        <w:rPr>
          <w:rFonts w:ascii="Arial" w:hAnsi="Arial"/>
          <w:noProof w:val="0"/>
          <w:rtl/>
          <w:lang w:eastAsia="he-IL"/>
        </w:rPr>
        <w:t xml:space="preserve">כח שהמערערת העבירה למשיב כספים כהלוואה, וששולמו לה תשלומי השבה עבור אותן הלוואות, גם אם לא סולקו במלואן כטענת המערערת. </w:t>
      </w:r>
    </w:p>
    <w:p w:rsidR="00065BDD" w:rsidRPr="00065BDD" w:rsidRDefault="00065BDD" w:rsidP="00065BDD">
      <w:pPr>
        <w:spacing w:line="360" w:lineRule="auto"/>
        <w:ind w:left="720"/>
        <w:jc w:val="both"/>
        <w:rPr>
          <w:rFonts w:ascii="David" w:hAnsi="David"/>
          <w:noProof w:val="0"/>
          <w:lang w:eastAsia="he-IL"/>
        </w:rPr>
      </w:pPr>
    </w:p>
    <w:p w:rsidR="00065BDD" w:rsidRPr="00065BDD" w:rsidRDefault="00065BDD" w:rsidP="00065BDD">
      <w:pPr>
        <w:spacing w:line="360" w:lineRule="auto"/>
        <w:ind w:left="720"/>
        <w:jc w:val="both"/>
        <w:rPr>
          <w:rFonts w:ascii="Arial" w:hAnsi="Arial"/>
          <w:noProof w:val="0"/>
          <w:rtl/>
          <w:lang w:eastAsia="he-IL"/>
        </w:rPr>
      </w:pPr>
      <w:r w:rsidRPr="00065BDD">
        <w:rPr>
          <w:rFonts w:ascii="Arial" w:hAnsi="Arial"/>
          <w:noProof w:val="0"/>
          <w:rtl/>
          <w:lang w:eastAsia="he-IL"/>
        </w:rPr>
        <w:t>בית משפט קמא קבע, כי נוכח התשתית הראייתית שהונחה בפניו, המערערת אינה זכאית, מכוח חוק יחסי ממון, למחצית משווי שלוש הדירות הואיל וקבלת טענה זו תהא משום חתירה תחת עקרונות החוק, עשיית עושר על גבו של המשיב, והנצחת היתרון הכלכלי שצברה האישה. בית משפט קמא אף דחה את האפשרות לרכישת זכויות בדירות מתוקף דוקטרינת נכס חיצוני.</w:t>
      </w:r>
    </w:p>
    <w:p w:rsidR="00065BDD" w:rsidRPr="00065BDD" w:rsidRDefault="00065BDD" w:rsidP="00065BDD">
      <w:pPr>
        <w:spacing w:line="360" w:lineRule="auto"/>
        <w:ind w:left="720"/>
        <w:jc w:val="both"/>
        <w:rPr>
          <w:rFonts w:ascii="Arial" w:hAnsi="Arial"/>
          <w:noProof w:val="0"/>
          <w:rtl/>
          <w:lang w:eastAsia="he-IL"/>
        </w:rPr>
      </w:pPr>
    </w:p>
    <w:p w:rsidR="00065BDD" w:rsidRPr="00065BDD" w:rsidRDefault="00065BDD" w:rsidP="00065BDD">
      <w:pPr>
        <w:numPr>
          <w:ilvl w:val="0"/>
          <w:numId w:val="1"/>
        </w:numPr>
        <w:spacing w:after="160" w:line="360" w:lineRule="auto"/>
        <w:jc w:val="both"/>
        <w:rPr>
          <w:rFonts w:ascii="David" w:hAnsi="David"/>
          <w:noProof w:val="0"/>
          <w:rtl/>
          <w:lang w:eastAsia="he-IL"/>
        </w:rPr>
      </w:pPr>
      <w:r w:rsidRPr="00065BDD">
        <w:rPr>
          <w:rFonts w:ascii="David" w:hAnsi="David"/>
          <w:noProof w:val="0"/>
          <w:rtl/>
          <w:lang w:eastAsia="he-IL"/>
        </w:rPr>
        <w:t xml:space="preserve">בית המשפט העריך את עלות הבניה על דרך האומדנה כשהוא משוערך להיום, על סך 800,000 ₪, ולפיכך נקבע שהמערערת זכאית להשבה בסך של 400,000 ₪, משוערך להיום, עבור חלקהּ בעלות הבניה, וכן להשבה בסך משוערך להיום של 50,000 ₪, עבור חלקהּ בהחזרי המשכנתא. </w:t>
      </w:r>
    </w:p>
    <w:p w:rsidR="00065BDD" w:rsidRPr="00065BDD" w:rsidRDefault="00065BDD" w:rsidP="00065BDD">
      <w:pPr>
        <w:numPr>
          <w:ilvl w:val="0"/>
          <w:numId w:val="1"/>
        </w:numPr>
        <w:spacing w:after="160" w:line="360" w:lineRule="auto"/>
        <w:jc w:val="both"/>
        <w:rPr>
          <w:rFonts w:ascii="David" w:hAnsi="David"/>
          <w:noProof w:val="0"/>
          <w:lang w:eastAsia="he-IL"/>
        </w:rPr>
      </w:pPr>
      <w:r w:rsidRPr="00065BDD">
        <w:rPr>
          <w:rFonts w:ascii="David" w:hAnsi="David"/>
          <w:noProof w:val="0"/>
          <w:rtl/>
          <w:lang w:eastAsia="he-IL"/>
        </w:rPr>
        <w:t xml:space="preserve">בית משפט קמא דחה את טענות המערערת באשר לזכויותיה בנכס המקרקעין שירש המשיב, כמו גם בעניין המיטלטלין. </w:t>
      </w:r>
    </w:p>
    <w:p w:rsidR="00065BDD" w:rsidRPr="00065BDD" w:rsidRDefault="00065BDD" w:rsidP="00065BDD">
      <w:pPr>
        <w:spacing w:line="360" w:lineRule="auto"/>
        <w:ind w:left="720"/>
        <w:jc w:val="both"/>
        <w:rPr>
          <w:rFonts w:ascii="Arial" w:hAnsi="Arial"/>
          <w:noProof w:val="0"/>
          <w:lang w:eastAsia="he-IL"/>
        </w:rPr>
      </w:pPr>
    </w:p>
    <w:p w:rsidR="00065BDD" w:rsidRPr="00065BDD" w:rsidRDefault="00065BDD" w:rsidP="00065BDD">
      <w:pPr>
        <w:spacing w:line="360" w:lineRule="auto"/>
        <w:ind w:left="1701" w:hanging="1701"/>
        <w:jc w:val="both"/>
        <w:rPr>
          <w:rFonts w:ascii="David" w:hAnsi="David"/>
          <w:b/>
          <w:bCs/>
          <w:noProof w:val="0"/>
          <w:u w:val="single"/>
          <w:lang w:eastAsia="he-IL"/>
        </w:rPr>
      </w:pPr>
      <w:r w:rsidRPr="00065BDD">
        <w:rPr>
          <w:rFonts w:ascii="David" w:hAnsi="David"/>
          <w:b/>
          <w:bCs/>
          <w:noProof w:val="0"/>
          <w:u w:val="single"/>
          <w:rtl/>
          <w:lang w:eastAsia="he-IL"/>
        </w:rPr>
        <w:t>טענות הצדדים בערעור</w:t>
      </w:r>
    </w:p>
    <w:p w:rsidR="00065BDD" w:rsidRPr="00065BDD" w:rsidRDefault="00065BDD" w:rsidP="00065BDD">
      <w:pPr>
        <w:spacing w:line="360" w:lineRule="auto"/>
        <w:ind w:left="1701" w:hanging="1701"/>
        <w:jc w:val="both"/>
        <w:rPr>
          <w:rFonts w:ascii="David" w:hAnsi="David"/>
          <w:b/>
          <w:bCs/>
          <w:noProof w:val="0"/>
          <w:u w:val="single"/>
          <w:rtl/>
          <w:lang w:eastAsia="he-IL"/>
        </w:rPr>
      </w:pPr>
    </w:p>
    <w:p w:rsidR="00065BDD" w:rsidRPr="00065BDD" w:rsidRDefault="00065BDD" w:rsidP="00065BDD">
      <w:pPr>
        <w:numPr>
          <w:ilvl w:val="0"/>
          <w:numId w:val="1"/>
        </w:numPr>
        <w:spacing w:after="160" w:line="360" w:lineRule="auto"/>
        <w:jc w:val="both"/>
        <w:rPr>
          <w:rFonts w:ascii="David" w:hAnsi="David"/>
          <w:noProof w:val="0"/>
          <w:rtl/>
          <w:lang w:eastAsia="he-IL"/>
        </w:rPr>
      </w:pPr>
      <w:r w:rsidRPr="00065BDD">
        <w:rPr>
          <w:rFonts w:ascii="David" w:hAnsi="David"/>
          <w:noProof w:val="0"/>
          <w:rtl/>
          <w:lang w:eastAsia="he-IL"/>
        </w:rPr>
        <w:t>המערערת מיאנה להשלים עם תוצאת פסק-הדין וערעורהּ מונח בפנינו.</w:t>
      </w:r>
    </w:p>
    <w:p w:rsidR="00065BDD" w:rsidRPr="00065BDD" w:rsidRDefault="00065BDD" w:rsidP="00065BDD">
      <w:pPr>
        <w:spacing w:line="360" w:lineRule="auto"/>
        <w:ind w:left="720"/>
        <w:jc w:val="both"/>
        <w:rPr>
          <w:rFonts w:ascii="David" w:hAnsi="David"/>
          <w:noProof w:val="0"/>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לטענת המערערת, שגה בית משפט קמא בכל הנוגע להכרעתו בסוגית בית המגורים של הצדדים, וכי הכרעתו בסוגיה זו אינה רק מנוגדת למציאות אלא שהיא אינה עולה בקנה אחד עם הלכות בית המשפט העליון, ועם עמדת המלומדים.</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נטען, כי שגה בית משפט קמא עת מנע מן המערערת את השבח של שלוש הדירות, וקבע, כי היא זכאית רק להחזר שווי ההשקעה בדירות אלו הואיל והדבר, כאמור אינו עולה בקנה אחד עם הפסיקה, וכי ההלכה הנוהגת היא שהתנהלות האישה עשויה להיחשב כמאמץ משותף.</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עוד נטען, כי נטל ההוכחה מוטל על הטוען לכוונת שיתוף בנכס חיצוני, וכי כל מקרה נבחן על-פי נסיבותיו, עת הושם דגש בפסיקה על אופייה הייחודי של דירת מגורים. שגה בית משפט קמא, כך נטען, גם כאשר ייחס משקל מכריע לחשבון המשותף של המערערת עם אביה כשיקול לשלילת זכויותיה בשלוש הדירות, וכי הפסיקה קובעת, כי אין במערכת יחסים כושלת בין בני-זוג כדי לשלול את כוונת השיתוף.</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עוד ובנוסף נטען, כי שגה בית משפט קמא גם בכל הנוגע להיעדר איזון-המשאבים במיטלטלין שהיו בבית.</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numPr>
          <w:ilvl w:val="0"/>
          <w:numId w:val="1"/>
        </w:numPr>
        <w:spacing w:after="160" w:line="360" w:lineRule="auto"/>
        <w:jc w:val="both"/>
        <w:rPr>
          <w:rFonts w:ascii="David" w:hAnsi="David"/>
          <w:noProof w:val="0"/>
          <w:rtl/>
          <w:lang w:eastAsia="he-IL"/>
        </w:rPr>
      </w:pPr>
      <w:r w:rsidRPr="00065BDD">
        <w:rPr>
          <w:rFonts w:ascii="David" w:hAnsi="David"/>
          <w:noProof w:val="0"/>
          <w:rtl/>
          <w:lang w:eastAsia="he-IL"/>
        </w:rPr>
        <w:lastRenderedPageBreak/>
        <w:t xml:space="preserve">בתשובתו לערעור טען המשיב, מנגד, כי יש לדחות את הערעור הואיל וקביעותיו העובדתיות של בית משפט קמא נטועות במציאות הנכוחה, וזאת בין היתר, בכל הנוגע להיעדר תום-הלב של המערערת וחוסר האמינות שלה. </w:t>
      </w:r>
    </w:p>
    <w:p w:rsidR="00065BDD" w:rsidRPr="00065BDD" w:rsidRDefault="00065BDD" w:rsidP="00065BDD">
      <w:pPr>
        <w:spacing w:line="360" w:lineRule="auto"/>
        <w:ind w:left="720"/>
        <w:jc w:val="both"/>
        <w:rPr>
          <w:rFonts w:ascii="David" w:hAnsi="David"/>
          <w:noProof w:val="0"/>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נטען, כי על אף שהחשבון ממנו נגבתה משכנתה היה משותף, הייתה המערערת שותפה בו רק בין השנים 2009-2013, וכי כל הכנסותיה הופקדו לחשבון הבנק הפרטי שלה.  בית משפט קמא קבע, כך נטען, כי המערערת לא אמרה אמת, וכי הדבר בא לידי ביטוי גם בסתירות הרבות בדבריה.</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עוד נטען, כי הסכום של 800,000 ₪ בו נקב בית משפט קמא לעניין ההשקעה גבוה מהסכום הריאלי שהושקע בבנייה שעומד על סך של 640,000 ₪, וכי בית משפט קמא כלל לא התחשב בתואר השני שלמדה המערערת בחו"ל, כמו גם ברכבים של הצדדים.</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עוד ובנוסף נטען, כי המערערת כלל לא השקיעה את כספהּ בבניית הבית ולא הייתה מוכנה לעשות כן, שעה שהיא "החביאה", כלשונו של המשיב (סעיף 14 לתשובתו לערעור) כספים שהיו ברשותהּ בחשבון משותף עם אביה, ובדרך זו תכננה למנוע את חלוקת הכספים בין הצדדים.</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numPr>
          <w:ilvl w:val="0"/>
          <w:numId w:val="1"/>
        </w:numPr>
        <w:spacing w:after="160" w:line="360" w:lineRule="auto"/>
        <w:jc w:val="both"/>
        <w:rPr>
          <w:rFonts w:ascii="David" w:hAnsi="David"/>
          <w:noProof w:val="0"/>
          <w:rtl/>
          <w:lang w:eastAsia="he-IL"/>
        </w:rPr>
      </w:pPr>
      <w:r w:rsidRPr="00065BDD">
        <w:rPr>
          <w:rFonts w:ascii="David" w:hAnsi="David"/>
          <w:noProof w:val="0"/>
          <w:rtl/>
          <w:lang w:eastAsia="he-IL"/>
        </w:rPr>
        <w:t>בדיון שהתקיים בפנינו ביום 05.12.2022, חזרו הצדדים על טענותיהם, והמשיב הדגיש, כי פסק-הדין של בית משפט קמא משקף את הצדק, הואיל והבית נרכש כעשור לפני שהלה הכיר את המערערת.</w:t>
      </w:r>
    </w:p>
    <w:p w:rsidR="00065BDD" w:rsidRPr="00065BDD" w:rsidRDefault="00065BDD" w:rsidP="00065BDD">
      <w:pPr>
        <w:spacing w:line="360" w:lineRule="auto"/>
        <w:ind w:left="1701" w:hanging="1701"/>
        <w:jc w:val="both"/>
        <w:rPr>
          <w:rFonts w:ascii="David" w:hAnsi="David"/>
          <w:noProof w:val="0"/>
          <w:lang w:eastAsia="he-IL"/>
        </w:rPr>
      </w:pPr>
    </w:p>
    <w:p w:rsidR="00065BDD" w:rsidRPr="00065BDD" w:rsidRDefault="00065BDD" w:rsidP="00065BDD">
      <w:pPr>
        <w:spacing w:line="360" w:lineRule="auto"/>
        <w:ind w:left="1701" w:hanging="1701"/>
        <w:jc w:val="both"/>
        <w:rPr>
          <w:rFonts w:ascii="David" w:hAnsi="David"/>
          <w:b/>
          <w:bCs/>
          <w:noProof w:val="0"/>
          <w:u w:val="single"/>
          <w:rtl/>
          <w:lang w:eastAsia="he-IL"/>
        </w:rPr>
      </w:pPr>
      <w:r w:rsidRPr="00065BDD">
        <w:rPr>
          <w:rFonts w:ascii="David" w:hAnsi="David"/>
          <w:b/>
          <w:bCs/>
          <w:noProof w:val="0"/>
          <w:u w:val="single"/>
          <w:rtl/>
          <w:lang w:eastAsia="he-IL"/>
        </w:rPr>
        <w:t>דיון והכרעה</w:t>
      </w:r>
    </w:p>
    <w:p w:rsidR="00065BDD" w:rsidRPr="00065BDD" w:rsidRDefault="00065BDD" w:rsidP="00065BDD">
      <w:pPr>
        <w:spacing w:line="360" w:lineRule="auto"/>
        <w:ind w:left="1701" w:hanging="1701"/>
        <w:jc w:val="both"/>
        <w:rPr>
          <w:rFonts w:ascii="David" w:hAnsi="David"/>
          <w:b/>
          <w:bCs/>
          <w:noProof w:val="0"/>
          <w:u w:val="single"/>
          <w:rtl/>
          <w:lang w:eastAsia="he-IL"/>
        </w:rPr>
      </w:pPr>
    </w:p>
    <w:p w:rsidR="00065BDD" w:rsidRPr="00065BDD" w:rsidRDefault="00065BDD" w:rsidP="00065BDD">
      <w:pPr>
        <w:numPr>
          <w:ilvl w:val="0"/>
          <w:numId w:val="1"/>
        </w:numPr>
        <w:suppressLineNumbers/>
        <w:spacing w:after="160" w:line="360" w:lineRule="auto"/>
        <w:contextualSpacing/>
        <w:jc w:val="both"/>
        <w:rPr>
          <w:rFonts w:ascii="David" w:hAnsi="David"/>
          <w:rtl/>
        </w:rPr>
      </w:pPr>
      <w:r w:rsidRPr="00065BDD">
        <w:rPr>
          <w:rFonts w:ascii="David" w:hAnsi="David"/>
          <w:rtl/>
        </w:rPr>
        <w:t>לאחר שנתתי דעתי לפרוטוקולים של הדיונים שהתקיימו בפני בית משפט קמא, לכל התיעוד הרלוונטי, לפסק-דינו של בית משפט קמא, לטיעוני הצדדים בכתב ובעל-פה, מסקנתי היא שדין הערעור להתקבל חלקית, כפי שאפרט להלן, וכך אציע לחברתי וחברי.</w:t>
      </w:r>
    </w:p>
    <w:p w:rsidR="00065BDD" w:rsidRPr="00065BDD" w:rsidRDefault="00065BDD" w:rsidP="00065BDD">
      <w:pPr>
        <w:suppressLineNumbers/>
        <w:spacing w:line="360" w:lineRule="auto"/>
        <w:ind w:left="720"/>
        <w:contextualSpacing/>
        <w:jc w:val="both"/>
        <w:rPr>
          <w:rFonts w:ascii="David" w:hAnsi="David"/>
        </w:rPr>
      </w:pPr>
    </w:p>
    <w:p w:rsidR="00065BDD" w:rsidRPr="00065BDD" w:rsidRDefault="00065BDD" w:rsidP="00065BDD">
      <w:pPr>
        <w:numPr>
          <w:ilvl w:val="0"/>
          <w:numId w:val="1"/>
        </w:numPr>
        <w:spacing w:after="160" w:line="360" w:lineRule="auto"/>
        <w:contextualSpacing/>
        <w:jc w:val="both"/>
        <w:rPr>
          <w:rFonts w:ascii="David" w:hAnsi="David"/>
          <w:rtl/>
        </w:rPr>
      </w:pPr>
      <w:r w:rsidRPr="00065BDD">
        <w:rPr>
          <w:rFonts w:ascii="David" w:hAnsi="David"/>
          <w:rtl/>
        </w:rPr>
        <w:t xml:space="preserve">כלל ידוע הוא, כי אין זו מדרכה של ערכאת הערעור להתערב בממצאי מהימנות ובקביעת עובדות, אשר נקבעו על-ידי הערכאה הדיונית, והיא אינה מעמידה עצמה במקום הדרגה הראשונה בבחינת המערכת הראייתית שנפרשה בפניה. שונה הדבר, עת בולטת על-פני הפסק טעות משפטית שורשית או כשהדברים מופרכים על פניהם ובלתי סבירים (ר' בספרם של ט' חבקין וח' בן-נון </w:t>
      </w:r>
      <w:r w:rsidRPr="00065BDD">
        <w:rPr>
          <w:rFonts w:ascii="David" w:hAnsi="David"/>
          <w:b/>
          <w:bCs/>
          <w:rtl/>
        </w:rPr>
        <w:t>הערעור האזרחי</w:t>
      </w:r>
      <w:r w:rsidRPr="00065BDD">
        <w:rPr>
          <w:rFonts w:ascii="David" w:hAnsi="David"/>
          <w:rtl/>
        </w:rPr>
        <w:t xml:space="preserve"> מהדורה שלישית עמודים 475-474). </w:t>
      </w:r>
    </w:p>
    <w:p w:rsidR="00065BDD" w:rsidRPr="00065BDD" w:rsidRDefault="00065BDD" w:rsidP="00065BDD">
      <w:pPr>
        <w:spacing w:line="360" w:lineRule="auto"/>
        <w:ind w:left="720"/>
        <w:contextualSpacing/>
        <w:jc w:val="both"/>
        <w:rPr>
          <w:rFonts w:ascii="David" w:eastAsia="Calibri" w:hAnsi="David"/>
          <w:rtl/>
        </w:rPr>
      </w:pPr>
    </w:p>
    <w:p w:rsidR="00065BDD" w:rsidRPr="00065BDD" w:rsidRDefault="00065BDD" w:rsidP="00065BDD">
      <w:pPr>
        <w:spacing w:line="360" w:lineRule="auto"/>
        <w:ind w:left="720"/>
        <w:contextualSpacing/>
        <w:jc w:val="both"/>
        <w:rPr>
          <w:rFonts w:ascii="David" w:eastAsia="Calibri" w:hAnsi="David"/>
          <w:rtl/>
        </w:rPr>
      </w:pPr>
      <w:r w:rsidRPr="00065BDD">
        <w:rPr>
          <w:rFonts w:ascii="David" w:eastAsia="Calibri" w:hAnsi="David"/>
          <w:rtl/>
        </w:rPr>
        <w:t xml:space="preserve">וכן דבריו של כב' השופט ד. מינץ ב-ע"א 8191/16 </w:t>
      </w:r>
      <w:r w:rsidRPr="00065BDD">
        <w:rPr>
          <w:rFonts w:ascii="David" w:eastAsia="Calibri" w:hAnsi="David"/>
          <w:b/>
          <w:bCs/>
          <w:rtl/>
        </w:rPr>
        <w:t>דיאליט נ' אברהם הרר</w:t>
      </w:r>
      <w:r w:rsidRPr="00065BDD">
        <w:rPr>
          <w:rFonts w:ascii="David" w:eastAsia="Calibri" w:hAnsi="David"/>
          <w:rtl/>
        </w:rPr>
        <w:t xml:space="preserve"> (17.06.2019):</w:t>
      </w:r>
    </w:p>
    <w:p w:rsidR="00065BDD" w:rsidRPr="00065BDD" w:rsidRDefault="00065BDD" w:rsidP="00065BDD">
      <w:pPr>
        <w:spacing w:line="360" w:lineRule="auto"/>
        <w:ind w:left="720"/>
        <w:contextualSpacing/>
        <w:jc w:val="both"/>
        <w:rPr>
          <w:rFonts w:ascii="David" w:hAnsi="David"/>
          <w:b/>
          <w:bCs/>
          <w:spacing w:val="10"/>
          <w:rtl/>
        </w:rPr>
      </w:pPr>
    </w:p>
    <w:p w:rsidR="00065BDD" w:rsidRPr="00065BDD" w:rsidRDefault="00065BDD" w:rsidP="00065BDD">
      <w:pPr>
        <w:spacing w:line="360" w:lineRule="auto"/>
        <w:ind w:left="2880"/>
        <w:contextualSpacing/>
        <w:jc w:val="both"/>
        <w:rPr>
          <w:rFonts w:ascii="David" w:eastAsia="Calibri" w:hAnsi="David"/>
          <w:rtl/>
        </w:rPr>
      </w:pPr>
      <w:r w:rsidRPr="00065BDD">
        <w:rPr>
          <w:rFonts w:ascii="David" w:hAnsi="David"/>
          <w:b/>
          <w:bCs/>
          <w:spacing w:val="10"/>
          <w:rtl/>
        </w:rPr>
        <w:t xml:space="preserve">"כאמור, הלכה נושנה היא שאין זה מדרכה של ערכאת הערעור להתערב בממצאי עובדה ומהימנות שנקבעו על ידי הערכאה הדיונית. זאת, מפני שבידה של הערכאה הדיונית האפשרות להתרשם מהעדים ומחקירתם על דוכן העדים, ולבחון כל ראיה וחוות-דעת לעומק. התערבות ערכאת הערעור תיעשה במקרים חריגים וקיצוניים בלבד, כגון מקרים בהם נפל פגם בהכרעתה של הערכאה הראשונה היורד לשורשו של עניין, או כשהדברים אינם מבוססים על פניהם </w:t>
      </w:r>
      <w:r w:rsidRPr="00065BDD">
        <w:rPr>
          <w:rFonts w:ascii="David" w:hAnsi="David"/>
          <w:b/>
          <w:bCs/>
          <w:rtl/>
        </w:rPr>
        <w:t xml:space="preserve">(אורי </w:t>
      </w:r>
      <w:hyperlink w:history="1">
        <w:r w:rsidRPr="00065BDD">
          <w:rPr>
            <w:rFonts w:ascii="David" w:hAnsi="David"/>
            <w:b/>
            <w:bCs/>
            <w:rtl/>
          </w:rPr>
          <w:t>גורן סוגיות בסדר דין אזרחי</w:t>
        </w:r>
      </w:hyperlink>
      <w:r w:rsidRPr="00065BDD">
        <w:rPr>
          <w:rFonts w:ascii="David" w:hAnsi="David"/>
          <w:b/>
          <w:bCs/>
          <w:spacing w:val="10"/>
          <w:rtl/>
        </w:rPr>
        <w:t xml:space="preserve"> 1026 (מהדורה שתים עשרה, 2015); </w:t>
      </w:r>
      <w:hyperlink w:history="1">
        <w:r w:rsidRPr="00065BDD">
          <w:rPr>
            <w:rFonts w:ascii="David" w:hAnsi="David"/>
            <w:b/>
            <w:bCs/>
            <w:spacing w:val="10"/>
            <w:rtl/>
          </w:rPr>
          <w:t>ע"א 4175/12</w:t>
        </w:r>
      </w:hyperlink>
      <w:r w:rsidRPr="00065BDD">
        <w:rPr>
          <w:rFonts w:ascii="David" w:hAnsi="David"/>
          <w:b/>
          <w:bCs/>
          <w:spacing w:val="10"/>
          <w:rtl/>
        </w:rPr>
        <w:t xml:space="preserve"> </w:t>
      </w:r>
      <w:r w:rsidRPr="00065BDD">
        <w:rPr>
          <w:rFonts w:ascii="David" w:hAnsi="David"/>
          <w:b/>
          <w:bCs/>
          <w:rtl/>
        </w:rPr>
        <w:t>תעשית אבן וסיד בע"מ נ' גדיר</w:t>
      </w:r>
      <w:r w:rsidRPr="00065BDD">
        <w:rPr>
          <w:rFonts w:ascii="David" w:hAnsi="David"/>
          <w:b/>
          <w:bCs/>
          <w:spacing w:val="10"/>
          <w:rtl/>
        </w:rPr>
        <w:t xml:space="preserve"> </w:t>
      </w:r>
      <w:r w:rsidRPr="00065BDD">
        <w:rPr>
          <w:rFonts w:ascii="David" w:hAnsi="David"/>
          <w:b/>
          <w:bCs/>
          <w:rtl/>
        </w:rPr>
        <w:t xml:space="preserve">[פורסם בנבו] </w:t>
      </w:r>
      <w:r w:rsidRPr="00065BDD">
        <w:rPr>
          <w:rFonts w:ascii="David" w:hAnsi="David"/>
          <w:b/>
          <w:bCs/>
          <w:spacing w:val="10"/>
          <w:rtl/>
        </w:rPr>
        <w:t>(10.3.2014);</w:t>
      </w:r>
      <w:r w:rsidRPr="00065BDD">
        <w:rPr>
          <w:rFonts w:ascii="David" w:hAnsi="David"/>
          <w:b/>
          <w:bCs/>
          <w:rtl/>
        </w:rPr>
        <w:t xml:space="preserve"> </w:t>
      </w:r>
      <w:hyperlink w:history="1">
        <w:r w:rsidRPr="00065BDD">
          <w:rPr>
            <w:rFonts w:ascii="David" w:hAnsi="David"/>
            <w:b/>
            <w:bCs/>
            <w:spacing w:val="10"/>
            <w:rtl/>
          </w:rPr>
          <w:t>ע"א 3894/03</w:t>
        </w:r>
      </w:hyperlink>
      <w:r w:rsidRPr="00065BDD">
        <w:rPr>
          <w:rFonts w:ascii="David" w:hAnsi="David"/>
          <w:b/>
          <w:bCs/>
          <w:spacing w:val="10"/>
          <w:rtl/>
        </w:rPr>
        <w:t xml:space="preserve"> </w:t>
      </w:r>
      <w:r w:rsidRPr="00065BDD">
        <w:rPr>
          <w:rFonts w:ascii="David" w:hAnsi="David"/>
          <w:b/>
          <w:bCs/>
          <w:rtl/>
        </w:rPr>
        <w:t>דויטש נ' ישראפלאורס בע"מ</w:t>
      </w:r>
      <w:r w:rsidRPr="00065BDD">
        <w:rPr>
          <w:rFonts w:ascii="David" w:hAnsi="David"/>
          <w:b/>
          <w:bCs/>
          <w:spacing w:val="10"/>
          <w:rtl/>
        </w:rPr>
        <w:t xml:space="preserve"> </w:t>
      </w:r>
      <w:r w:rsidRPr="00065BDD">
        <w:rPr>
          <w:rFonts w:ascii="David" w:hAnsi="David"/>
          <w:b/>
          <w:bCs/>
          <w:rtl/>
        </w:rPr>
        <w:t xml:space="preserve">[פורסם בנבו] </w:t>
      </w:r>
      <w:r w:rsidRPr="00065BDD">
        <w:rPr>
          <w:rFonts w:ascii="David" w:hAnsi="David"/>
          <w:b/>
          <w:bCs/>
          <w:spacing w:val="10"/>
          <w:rtl/>
        </w:rPr>
        <w:t xml:space="preserve">(23.8.2012)). </w:t>
      </w:r>
    </w:p>
    <w:p w:rsidR="00065BDD" w:rsidRPr="00065BDD" w:rsidRDefault="00065BDD" w:rsidP="00065BDD">
      <w:pPr>
        <w:spacing w:line="360" w:lineRule="auto"/>
        <w:ind w:left="1440"/>
        <w:contextualSpacing/>
        <w:jc w:val="both"/>
        <w:rPr>
          <w:rFonts w:ascii="David" w:eastAsia="Calibri" w:hAnsi="David"/>
          <w:rtl/>
        </w:rPr>
      </w:pPr>
    </w:p>
    <w:p w:rsidR="00065BDD" w:rsidRPr="00065BDD" w:rsidRDefault="00065BDD" w:rsidP="00065BDD">
      <w:pPr>
        <w:tabs>
          <w:tab w:val="left" w:pos="800"/>
        </w:tabs>
        <w:overflowPunct w:val="0"/>
        <w:autoSpaceDE w:val="0"/>
        <w:autoSpaceDN w:val="0"/>
        <w:adjustRightInd w:val="0"/>
        <w:spacing w:line="360" w:lineRule="auto"/>
        <w:ind w:left="720"/>
        <w:contextualSpacing/>
        <w:jc w:val="both"/>
        <w:rPr>
          <w:rFonts w:ascii="David" w:hAnsi="David"/>
          <w:b/>
          <w:bCs/>
          <w:spacing w:val="10"/>
          <w:rtl/>
        </w:rPr>
      </w:pPr>
      <w:r w:rsidRPr="00065BDD">
        <w:rPr>
          <w:rFonts w:ascii="David" w:hAnsi="David"/>
          <w:rtl/>
        </w:rPr>
        <w:t>גם בענייננו, אין בכוונתי לסטות מן הכלל האמור ולהתערב בממצאים העובדתיים שקבע בית משפט קמא. יחד עם זאת, במקום כבענייננו, בו שגה בית משפט קמא במסקנה המשפטית אליה הגיע, על בית משפט שלערעור להתערב במסקנות אלו, ואין בכלל אי-ההתערבות כדי להגביל את התערבות ערכאת הערעור בקביעות בית משפט קמא.</w:t>
      </w:r>
    </w:p>
    <w:p w:rsidR="00065BDD" w:rsidRPr="00065BDD" w:rsidRDefault="00065BDD" w:rsidP="00065BDD">
      <w:pPr>
        <w:tabs>
          <w:tab w:val="left" w:pos="800"/>
        </w:tabs>
        <w:overflowPunct w:val="0"/>
        <w:autoSpaceDE w:val="0"/>
        <w:autoSpaceDN w:val="0"/>
        <w:adjustRightInd w:val="0"/>
        <w:spacing w:line="360" w:lineRule="auto"/>
        <w:ind w:left="720"/>
        <w:contextualSpacing/>
        <w:jc w:val="both"/>
        <w:rPr>
          <w:rFonts w:ascii="David" w:hAnsi="David"/>
          <w:b/>
          <w:bCs/>
          <w:spacing w:val="10"/>
          <w:rtl/>
        </w:rPr>
      </w:pPr>
    </w:p>
    <w:p w:rsidR="00065BDD" w:rsidRPr="00065BDD" w:rsidRDefault="00065BDD" w:rsidP="00065BDD">
      <w:pPr>
        <w:spacing w:line="360" w:lineRule="auto"/>
        <w:ind w:left="720"/>
        <w:contextualSpacing/>
        <w:jc w:val="both"/>
        <w:rPr>
          <w:rFonts w:ascii="David" w:hAnsi="David"/>
          <w:rtl/>
        </w:rPr>
      </w:pPr>
      <w:r w:rsidRPr="00065BDD">
        <w:rPr>
          <w:rFonts w:ascii="David" w:hAnsi="David"/>
          <w:rtl/>
        </w:rPr>
        <w:t xml:space="preserve">יפים לענייננו דבריו של כב' השופט י. אלרון ב- ע"פ 229/19 </w:t>
      </w:r>
      <w:r w:rsidRPr="00065BDD">
        <w:rPr>
          <w:rFonts w:ascii="David" w:hAnsi="David"/>
          <w:b/>
          <w:bCs/>
          <w:rtl/>
        </w:rPr>
        <w:t>מדינת ישראל נ' פלוני</w:t>
      </w:r>
      <w:r w:rsidRPr="00065BDD">
        <w:rPr>
          <w:rFonts w:ascii="David" w:hAnsi="David"/>
          <w:rtl/>
        </w:rPr>
        <w:t xml:space="preserve"> (30.12.2019):</w:t>
      </w:r>
    </w:p>
    <w:p w:rsidR="00065BDD" w:rsidRPr="00065BDD" w:rsidRDefault="00065BDD" w:rsidP="00065BDD">
      <w:pPr>
        <w:spacing w:line="360" w:lineRule="auto"/>
        <w:ind w:left="720"/>
        <w:contextualSpacing/>
        <w:jc w:val="both"/>
        <w:rPr>
          <w:rFonts w:ascii="David" w:hAnsi="David"/>
          <w:rtl/>
        </w:rPr>
      </w:pPr>
    </w:p>
    <w:p w:rsidR="00065BDD" w:rsidRPr="00065BDD" w:rsidRDefault="00065BDD" w:rsidP="00065BDD">
      <w:pPr>
        <w:tabs>
          <w:tab w:val="left" w:pos="800"/>
        </w:tabs>
        <w:spacing w:line="360" w:lineRule="auto"/>
        <w:ind w:left="2880"/>
        <w:contextualSpacing/>
        <w:jc w:val="both"/>
        <w:rPr>
          <w:rtl/>
        </w:rPr>
      </w:pPr>
      <w:r w:rsidRPr="00065BDD">
        <w:rPr>
          <w:rFonts w:ascii="David" w:hAnsi="David"/>
          <w:b/>
          <w:bCs/>
          <w:spacing w:val="10"/>
          <w:rtl/>
        </w:rPr>
        <w:t xml:space="preserve">"יחד עם זאת, אחד החריגים הידועים לכלל אי-התערבותה של ערכאת הערעור בממצאי הערכאה הדיונית, הוא כאשר ממצאים אלו מתבססים על שיקולים שבהגיון או מסקנות משפטיות שגויות, להבדיל מהערכת מהימנות ברורה וחד משמעית של העדים (ראה, בין היתר: </w:t>
      </w:r>
      <w:hyperlink w:history="1">
        <w:r w:rsidRPr="00065BDD">
          <w:rPr>
            <w:rFonts w:ascii="David" w:hAnsi="David"/>
            <w:b/>
            <w:bCs/>
            <w:spacing w:val="10"/>
            <w:rtl/>
          </w:rPr>
          <w:t>ע"פ 8146/09</w:t>
        </w:r>
      </w:hyperlink>
      <w:r w:rsidRPr="00065BDD">
        <w:rPr>
          <w:rFonts w:ascii="David" w:hAnsi="David"/>
          <w:b/>
          <w:bCs/>
          <w:spacing w:val="10"/>
          <w:rtl/>
        </w:rPr>
        <w:t xml:space="preserve"> </w:t>
      </w:r>
      <w:r w:rsidRPr="00065BDD">
        <w:rPr>
          <w:rFonts w:ascii="David" w:hAnsi="David"/>
          <w:b/>
          <w:bCs/>
          <w:rtl/>
        </w:rPr>
        <w:t>אבשלום נ' מדינת ישראל</w:t>
      </w:r>
      <w:r w:rsidRPr="00065BDD">
        <w:rPr>
          <w:rFonts w:ascii="David" w:hAnsi="David"/>
          <w:b/>
          <w:bCs/>
          <w:spacing w:val="10"/>
          <w:rtl/>
        </w:rPr>
        <w:t xml:space="preserve">, </w:t>
      </w:r>
      <w:r w:rsidRPr="00065BDD">
        <w:rPr>
          <w:rFonts w:ascii="David" w:hAnsi="David"/>
          <w:b/>
          <w:bCs/>
          <w:rtl/>
        </w:rPr>
        <w:t xml:space="preserve">[פורסם בנבו] </w:t>
      </w:r>
      <w:r w:rsidRPr="00065BDD">
        <w:rPr>
          <w:rFonts w:ascii="David" w:hAnsi="David"/>
          <w:b/>
          <w:bCs/>
          <w:spacing w:val="10"/>
          <w:rtl/>
        </w:rPr>
        <w:t>בפסקה 19 (8.9.2011))".</w:t>
      </w:r>
    </w:p>
    <w:p w:rsidR="00065BDD" w:rsidRPr="00065BDD" w:rsidRDefault="00065BDD" w:rsidP="00065BDD">
      <w:pPr>
        <w:tabs>
          <w:tab w:val="left" w:pos="800"/>
        </w:tabs>
        <w:spacing w:after="160" w:line="360" w:lineRule="auto"/>
        <w:jc w:val="both"/>
        <w:rPr>
          <w:rFonts w:ascii="Calibri" w:eastAsia="Calibri" w:hAnsi="Calibri" w:cs="Arial"/>
          <w:noProof w:val="0"/>
          <w:sz w:val="22"/>
          <w:szCs w:val="22"/>
        </w:rPr>
      </w:pPr>
    </w:p>
    <w:p w:rsidR="00065BDD" w:rsidRPr="00065BDD" w:rsidRDefault="00065BDD" w:rsidP="00065BDD">
      <w:pPr>
        <w:numPr>
          <w:ilvl w:val="0"/>
          <w:numId w:val="1"/>
        </w:numPr>
        <w:tabs>
          <w:tab w:val="left" w:pos="800"/>
        </w:tabs>
        <w:spacing w:after="160" w:line="360" w:lineRule="auto"/>
        <w:contextualSpacing/>
        <w:jc w:val="both"/>
      </w:pPr>
      <w:r w:rsidRPr="00065BDD">
        <w:rPr>
          <w:rFonts w:ascii="Arial" w:hAnsi="Arial"/>
          <w:rtl/>
        </w:rPr>
        <w:lastRenderedPageBreak/>
        <w:t>בענייננו, נישאו הצדדים ביום 23.</w:t>
      </w:r>
      <w:r w:rsidR="00CF1701">
        <w:rPr>
          <w:rFonts w:ascii="Arial" w:hAnsi="Arial"/>
          <w:rtl/>
        </w:rPr>
        <w:t xml:space="preserve">03.2002 והתגרשו בבית הדין </w:t>
      </w:r>
      <w:r w:rsidR="00CF1701">
        <w:rPr>
          <w:rFonts w:ascii="Arial" w:hAnsi="Arial" w:hint="cs"/>
          <w:rtl/>
        </w:rPr>
        <w:t>------</w:t>
      </w:r>
      <w:r w:rsidRPr="00065BDD">
        <w:rPr>
          <w:rFonts w:ascii="Arial" w:hAnsi="Arial"/>
          <w:rtl/>
        </w:rPr>
        <w:t xml:space="preserve"> ביום 06.06.2018, כאשר מנישואיהם נולד</w:t>
      </w:r>
      <w:r w:rsidR="00CF1701">
        <w:rPr>
          <w:rFonts w:ascii="Arial" w:hAnsi="Arial" w:hint="cs"/>
          <w:rtl/>
        </w:rPr>
        <w:t>/ה</w:t>
      </w:r>
      <w:r w:rsidRPr="00065BDD">
        <w:rPr>
          <w:rFonts w:ascii="Arial" w:hAnsi="Arial"/>
          <w:rtl/>
        </w:rPr>
        <w:t xml:space="preserve"> הקטין</w:t>
      </w:r>
      <w:r w:rsidR="00CF1701">
        <w:rPr>
          <w:rFonts w:ascii="Arial" w:hAnsi="Arial" w:hint="cs"/>
          <w:rtl/>
        </w:rPr>
        <w:t>/ה</w:t>
      </w:r>
      <w:r w:rsidRPr="00065BDD">
        <w:rPr>
          <w:rFonts w:ascii="Arial" w:hAnsi="Arial"/>
          <w:rtl/>
        </w:rPr>
        <w:t xml:space="preserve">. </w:t>
      </w:r>
      <w:r w:rsidRPr="00065BDD">
        <w:rPr>
          <w:rFonts w:hint="cs"/>
        </w:rPr>
        <w:t xml:space="preserve"> </w:t>
      </w:r>
    </w:p>
    <w:p w:rsidR="00065BDD" w:rsidRPr="00065BDD" w:rsidRDefault="00065BDD" w:rsidP="00065BDD">
      <w:pPr>
        <w:tabs>
          <w:tab w:val="left" w:pos="800"/>
        </w:tabs>
        <w:spacing w:line="360" w:lineRule="auto"/>
        <w:ind w:left="720"/>
        <w:contextualSpacing/>
        <w:jc w:val="both"/>
      </w:pPr>
    </w:p>
    <w:p w:rsidR="00065BDD" w:rsidRPr="00065BDD" w:rsidRDefault="00065BDD" w:rsidP="00065BDD">
      <w:pPr>
        <w:tabs>
          <w:tab w:val="left" w:pos="800"/>
        </w:tabs>
        <w:spacing w:line="360" w:lineRule="auto"/>
        <w:ind w:left="720"/>
        <w:contextualSpacing/>
        <w:jc w:val="both"/>
        <w:rPr>
          <w:rtl/>
        </w:rPr>
      </w:pPr>
      <w:r w:rsidRPr="00065BDD">
        <w:rPr>
          <w:rtl/>
        </w:rPr>
        <w:t>בית משפט קמא קבע בפסקה 63 לפסק-דינו:</w:t>
      </w:r>
    </w:p>
    <w:p w:rsidR="00065BDD" w:rsidRPr="00065BDD" w:rsidRDefault="00065BDD" w:rsidP="00065BDD">
      <w:pPr>
        <w:tabs>
          <w:tab w:val="left" w:pos="800"/>
        </w:tabs>
        <w:spacing w:line="360" w:lineRule="auto"/>
        <w:ind w:left="720"/>
        <w:contextualSpacing/>
        <w:jc w:val="both"/>
        <w:rPr>
          <w:rtl/>
        </w:rPr>
      </w:pPr>
    </w:p>
    <w:p w:rsidR="00065BDD" w:rsidRPr="00065BDD" w:rsidRDefault="00065BDD" w:rsidP="00065BDD">
      <w:pPr>
        <w:tabs>
          <w:tab w:val="left" w:pos="800"/>
        </w:tabs>
        <w:spacing w:line="360" w:lineRule="auto"/>
        <w:ind w:left="2880"/>
        <w:contextualSpacing/>
        <w:jc w:val="both"/>
        <w:rPr>
          <w:rtl/>
        </w:rPr>
      </w:pPr>
      <w:r w:rsidRPr="00065BDD">
        <w:rPr>
          <w:rFonts w:ascii="David" w:hAnsi="David"/>
          <w:rtl/>
        </w:rPr>
        <w:t>"</w:t>
      </w:r>
      <w:r w:rsidRPr="00065BDD">
        <w:rPr>
          <w:rFonts w:ascii="David" w:hAnsi="David"/>
          <w:b/>
          <w:bCs/>
          <w:rtl/>
        </w:rPr>
        <w:t>לשם הבנת המחלוקת והגדרת גבולותיה, נציין בקליפת אגוז שלאחר נישואי הצדדים, הם עברו להתגורר בביתו של האיש, אותו רכש טרם הנישואין. הבית כלל קומת מרתף וקומת קרקע בלבד. לימים, ובמהלך הנישואין, נבנו על הבית שלוש קומות נוספות, ברמות גימור שונות</w:t>
      </w:r>
      <w:r w:rsidRPr="00065BDD">
        <w:rPr>
          <w:rFonts w:ascii="David" w:hAnsi="David"/>
          <w:rtl/>
        </w:rPr>
        <w:t>".</w:t>
      </w:r>
    </w:p>
    <w:p w:rsidR="00065BDD" w:rsidRPr="00065BDD" w:rsidRDefault="00065BDD" w:rsidP="00065BDD">
      <w:pPr>
        <w:tabs>
          <w:tab w:val="left" w:pos="800"/>
        </w:tabs>
        <w:spacing w:after="160" w:line="360" w:lineRule="auto"/>
        <w:jc w:val="both"/>
        <w:rPr>
          <w:rFonts w:ascii="Calibri" w:eastAsia="Calibri" w:hAnsi="Calibri" w:cs="Arial"/>
          <w:noProof w:val="0"/>
          <w:sz w:val="22"/>
          <w:szCs w:val="22"/>
          <w:rtl/>
        </w:rPr>
      </w:pPr>
    </w:p>
    <w:p w:rsidR="00065BDD" w:rsidRPr="00065BDD" w:rsidRDefault="00065BDD" w:rsidP="00065BDD">
      <w:pPr>
        <w:tabs>
          <w:tab w:val="left" w:pos="800"/>
        </w:tabs>
        <w:spacing w:after="160" w:line="360" w:lineRule="auto"/>
        <w:jc w:val="both"/>
        <w:rPr>
          <w:rFonts w:ascii="David" w:eastAsia="Calibri" w:hAnsi="David"/>
          <w:noProof w:val="0"/>
          <w:rtl/>
        </w:rPr>
      </w:pPr>
      <w:r w:rsidRPr="00065BDD">
        <w:rPr>
          <w:rFonts w:ascii="Calibri" w:eastAsia="Calibri" w:hAnsi="Calibri" w:cs="Arial"/>
          <w:noProof w:val="0"/>
          <w:sz w:val="22"/>
          <w:szCs w:val="22"/>
          <w:rtl/>
        </w:rPr>
        <w:tab/>
      </w:r>
      <w:r w:rsidRPr="00065BDD">
        <w:rPr>
          <w:rFonts w:ascii="David" w:eastAsia="Calibri" w:hAnsi="David"/>
          <w:noProof w:val="0"/>
          <w:rtl/>
        </w:rPr>
        <w:t>ובהמשך בפסקאות 64-65 נקבע כך:</w:t>
      </w:r>
    </w:p>
    <w:p w:rsidR="00065BDD" w:rsidRPr="00065BDD" w:rsidRDefault="00065BDD" w:rsidP="00065BDD">
      <w:pPr>
        <w:tabs>
          <w:tab w:val="left" w:pos="800"/>
        </w:tabs>
        <w:spacing w:after="160" w:line="360" w:lineRule="auto"/>
        <w:jc w:val="both"/>
        <w:rPr>
          <w:rFonts w:ascii="David" w:eastAsia="Calibri" w:hAnsi="David"/>
          <w:b/>
          <w:bCs/>
          <w:noProof w:val="0"/>
          <w:rtl/>
        </w:rPr>
      </w:pPr>
    </w:p>
    <w:p w:rsidR="00065BDD" w:rsidRPr="00065BDD" w:rsidRDefault="00065BDD" w:rsidP="00065BDD">
      <w:pPr>
        <w:spacing w:line="360" w:lineRule="auto"/>
        <w:ind w:left="2880"/>
        <w:jc w:val="both"/>
        <w:rPr>
          <w:rFonts w:ascii="David" w:hAnsi="David"/>
          <w:b/>
          <w:bCs/>
          <w:noProof w:val="0"/>
          <w:rtl/>
          <w:lang w:eastAsia="he-IL"/>
        </w:rPr>
      </w:pPr>
      <w:r w:rsidRPr="00065BDD">
        <w:rPr>
          <w:rFonts w:ascii="David" w:hAnsi="David"/>
          <w:b/>
          <w:bCs/>
          <w:noProof w:val="0"/>
          <w:rtl/>
          <w:lang w:eastAsia="he-IL"/>
        </w:rPr>
        <w:t>"בית המגורים והדירות הבנויות מעליו,</w:t>
      </w:r>
      <w:r w:rsidR="00CF1701">
        <w:rPr>
          <w:rFonts w:ascii="David" w:hAnsi="David"/>
          <w:b/>
          <w:bCs/>
          <w:noProof w:val="0"/>
          <w:rtl/>
          <w:lang w:eastAsia="he-IL"/>
        </w:rPr>
        <w:t xml:space="preserve"> בנויים על מגרש הידוע כגוש </w:t>
      </w:r>
      <w:r w:rsidR="00CF1701">
        <w:rPr>
          <w:rFonts w:ascii="David" w:hAnsi="David" w:hint="cs"/>
          <w:b/>
          <w:bCs/>
          <w:noProof w:val="0"/>
          <w:rtl/>
          <w:lang w:eastAsia="he-IL"/>
        </w:rPr>
        <w:t>----</w:t>
      </w:r>
      <w:r w:rsidR="00CF1701">
        <w:rPr>
          <w:rFonts w:ascii="David" w:hAnsi="David"/>
          <w:b/>
          <w:bCs/>
          <w:noProof w:val="0"/>
          <w:rtl/>
          <w:lang w:eastAsia="he-IL"/>
        </w:rPr>
        <w:t xml:space="preserve"> חלקה </w:t>
      </w:r>
      <w:r w:rsidR="00CF1701">
        <w:rPr>
          <w:rFonts w:ascii="David" w:hAnsi="David" w:hint="cs"/>
          <w:b/>
          <w:bCs/>
          <w:noProof w:val="0"/>
          <w:rtl/>
          <w:lang w:eastAsia="he-IL"/>
        </w:rPr>
        <w:t>---</w:t>
      </w:r>
      <w:r w:rsidRPr="00065BDD">
        <w:rPr>
          <w:rFonts w:ascii="David" w:hAnsi="David"/>
          <w:b/>
          <w:bCs/>
          <w:noProof w:val="0"/>
          <w:rtl/>
          <w:lang w:eastAsia="he-IL"/>
        </w:rPr>
        <w:t>. זכויות הבעלות על החלקה היו מאז ומתמיד רשומות על שמו של האיש בלבד, והוא רכש אותן בתנאים שיועדו לחיילים משוחררים בשנת 1990, כ – 12 שנים לפני הנישואין (חוזה רכישה בין האיש לבין רמ"י צורף לתצהיר האיש נ/4, וסומן א'-1). בית המגורים, כולל קומת המרתף, נבנה על החלקה טרם נישואי הצדדים ובמהלך השנים 1994-1990 (היתר הבניה מחודש 4/1991, ואישור לחיבור הבית לחשמל מחודש 12/1994, צורפו לתצהיר האיש, שם, נס' א'-2 – א'-3).</w:t>
      </w:r>
    </w:p>
    <w:p w:rsidR="00065BDD" w:rsidRPr="00065BDD" w:rsidRDefault="00065BDD" w:rsidP="00065BDD">
      <w:pPr>
        <w:spacing w:line="360" w:lineRule="auto"/>
        <w:ind w:left="-426"/>
        <w:jc w:val="both"/>
        <w:rPr>
          <w:rFonts w:ascii="David" w:hAnsi="David"/>
          <w:b/>
          <w:bCs/>
          <w:noProof w:val="0"/>
          <w:lang w:eastAsia="he-IL"/>
        </w:rPr>
      </w:pPr>
    </w:p>
    <w:p w:rsidR="00065BDD" w:rsidRPr="00065BDD" w:rsidRDefault="00065BDD" w:rsidP="00065BDD">
      <w:pPr>
        <w:spacing w:line="360" w:lineRule="auto"/>
        <w:ind w:left="2880"/>
        <w:jc w:val="both"/>
        <w:rPr>
          <w:rFonts w:ascii="David" w:hAnsi="David"/>
          <w:b/>
          <w:bCs/>
          <w:noProof w:val="0"/>
          <w:rtl/>
          <w:lang w:eastAsia="he-IL"/>
        </w:rPr>
      </w:pPr>
      <w:r w:rsidRPr="00065BDD">
        <w:rPr>
          <w:rFonts w:ascii="David" w:hAnsi="David"/>
          <w:b/>
          <w:bCs/>
          <w:noProof w:val="0"/>
          <w:rtl/>
          <w:lang w:eastAsia="he-IL"/>
        </w:rPr>
        <w:t>הצדדים נישאו בשנת 2002 ועברו להתגורר בבית המגורים. בשנת 2009 החלה בנית דירות המגורים מעל לבית לצורך השקעה, לאחר שבחודש מרץ 2009 ניתן היתר בניה לבנית שתי קומות נוספות על הבית הקיים (שם, נס' א'-5). לשם מימון הבניה נטלו הצדדים בחודש 5/2009 משכנתא בשיעור 120,000 ₪, למשך 10 שנים (שם, נס' א'-6). יצוין עוד שהצדדים שהו במהלך ה</w:t>
      </w:r>
      <w:r w:rsidR="00CF1701">
        <w:rPr>
          <w:rFonts w:ascii="David" w:hAnsi="David"/>
          <w:b/>
          <w:bCs/>
          <w:noProof w:val="0"/>
          <w:rtl/>
          <w:lang w:eastAsia="he-IL"/>
        </w:rPr>
        <w:t>שנים תקופות שונות וממושכות ב</w:t>
      </w:r>
      <w:r w:rsidR="00CF1701">
        <w:rPr>
          <w:rFonts w:ascii="David" w:hAnsi="David" w:hint="cs"/>
          <w:b/>
          <w:bCs/>
          <w:noProof w:val="0"/>
          <w:rtl/>
          <w:lang w:eastAsia="he-IL"/>
        </w:rPr>
        <w:t>-----</w:t>
      </w:r>
      <w:r w:rsidR="00CF1701">
        <w:rPr>
          <w:rFonts w:ascii="David" w:hAnsi="David"/>
          <w:b/>
          <w:bCs/>
          <w:noProof w:val="0"/>
          <w:rtl/>
          <w:lang w:eastAsia="he-IL"/>
        </w:rPr>
        <w:t xml:space="preserve"> בעקבות משרתו של האיש כ</w:t>
      </w:r>
      <w:r w:rsidR="00CF1701">
        <w:rPr>
          <w:rFonts w:ascii="David" w:hAnsi="David" w:hint="cs"/>
          <w:b/>
          <w:bCs/>
          <w:noProof w:val="0"/>
          <w:rtl/>
          <w:lang w:eastAsia="he-IL"/>
        </w:rPr>
        <w:t>-----</w:t>
      </w:r>
      <w:r w:rsidRPr="00065BDD">
        <w:rPr>
          <w:rFonts w:ascii="David" w:hAnsi="David"/>
          <w:b/>
          <w:bCs/>
          <w:noProof w:val="0"/>
          <w:rtl/>
          <w:lang w:eastAsia="he-IL"/>
        </w:rPr>
        <w:t xml:space="preserve"> – בין השנים 2008-2007; 2013-</w:t>
      </w:r>
      <w:r w:rsidRPr="00065BDD">
        <w:rPr>
          <w:rFonts w:ascii="David" w:hAnsi="David"/>
          <w:b/>
          <w:bCs/>
          <w:noProof w:val="0"/>
          <w:rtl/>
          <w:lang w:eastAsia="he-IL"/>
        </w:rPr>
        <w:lastRenderedPageBreak/>
        <w:t>2010; 2016-2014. במהלך שנים אלה, בית המגורים ו/או הדירה בקומה א', הושכרו לצדדים שלישיים".</w:t>
      </w:r>
    </w:p>
    <w:p w:rsidR="00065BDD" w:rsidRPr="00065BDD" w:rsidRDefault="00065BDD" w:rsidP="00065BDD">
      <w:pPr>
        <w:spacing w:line="360" w:lineRule="auto"/>
        <w:ind w:left="1701" w:hanging="1701"/>
        <w:jc w:val="both"/>
        <w:rPr>
          <w:rFonts w:ascii="David" w:hAnsi="David"/>
          <w:b/>
          <w:bCs/>
          <w:noProof w:val="0"/>
          <w:rtl/>
          <w:lang w:eastAsia="he-IL"/>
        </w:rPr>
      </w:pPr>
    </w:p>
    <w:p w:rsidR="00065BDD" w:rsidRPr="00065BDD" w:rsidRDefault="00065BDD" w:rsidP="00065BDD">
      <w:pPr>
        <w:spacing w:line="360" w:lineRule="auto"/>
        <w:ind w:left="1701" w:hanging="1701"/>
        <w:jc w:val="both"/>
        <w:rPr>
          <w:rFonts w:ascii="David" w:hAnsi="David"/>
          <w:b/>
          <w:bCs/>
          <w:noProof w:val="0"/>
          <w:rtl/>
          <w:lang w:eastAsia="he-IL"/>
        </w:rPr>
      </w:pPr>
    </w:p>
    <w:p w:rsidR="00065BDD" w:rsidRPr="00065BDD" w:rsidRDefault="00065BDD" w:rsidP="00065BDD">
      <w:pPr>
        <w:numPr>
          <w:ilvl w:val="0"/>
          <w:numId w:val="1"/>
        </w:numPr>
        <w:spacing w:after="160" w:line="360" w:lineRule="auto"/>
        <w:jc w:val="both"/>
        <w:rPr>
          <w:rFonts w:ascii="David" w:hAnsi="David"/>
          <w:noProof w:val="0"/>
          <w:rtl/>
          <w:lang w:eastAsia="he-IL"/>
        </w:rPr>
      </w:pPr>
      <w:r w:rsidRPr="00065BDD">
        <w:rPr>
          <w:rFonts w:ascii="David" w:hAnsi="David"/>
          <w:noProof w:val="0"/>
          <w:rtl/>
          <w:lang w:eastAsia="he-IL"/>
        </w:rPr>
        <w:t xml:space="preserve">על אף האמור הגיע בית משפט קמא למסקנה, לפיה לא ביססה המערערת את טענותיה כלפי בית המגורים והמרתף מתוקף חוק יחסי ממון, שעה שהמגרש נרכש והבית נבנה לפני הנישואין. בית משפט קמא אף לא קיבל את טענות המערערת אודות הדוקטרינה של "נכס חיצוני" הואיל ומצא, כי התשתית הראייתית שהונחה בפניו אינה עומדת בקנה אחד עם הלכות בית המשפט העליון. </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יתרה מכך, בית משפט קמא אף קבע, כי אין המערערת זכאית מכוח חוק יחסי ממון למחצית משווי שלוש הדירות, וכי הנסיבות אף אינן מצביעות על קיומה של זכות שקמה למערערת בשלוש הדירות מתוקף דוקטרינת "נכס חיצוני".</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numPr>
          <w:ilvl w:val="0"/>
          <w:numId w:val="1"/>
        </w:numPr>
        <w:spacing w:after="160" w:line="360" w:lineRule="auto"/>
        <w:jc w:val="both"/>
        <w:rPr>
          <w:rFonts w:ascii="David" w:hAnsi="David"/>
          <w:noProof w:val="0"/>
          <w:rtl/>
          <w:lang w:eastAsia="he-IL"/>
        </w:rPr>
      </w:pPr>
      <w:r w:rsidRPr="00065BDD">
        <w:rPr>
          <w:rFonts w:ascii="David" w:hAnsi="David"/>
          <w:noProof w:val="0"/>
          <w:rtl/>
          <w:lang w:eastAsia="he-IL"/>
        </w:rPr>
        <w:t xml:space="preserve">בכל הנוגע למסקנת בית משפט קמא אודות בית המגורים והמרתף, לא מצאתי, כי יש </w:t>
      </w:r>
      <w:r w:rsidRPr="00065BDD">
        <w:rPr>
          <w:rFonts w:ascii="David" w:hAnsi="David"/>
          <w:noProof w:val="0"/>
          <w:u w:val="single"/>
          <w:rtl/>
          <w:lang w:eastAsia="he-IL"/>
        </w:rPr>
        <w:t>בענייננו</w:t>
      </w:r>
      <w:r w:rsidRPr="00065BDD">
        <w:rPr>
          <w:rFonts w:ascii="David" w:hAnsi="David"/>
          <w:noProof w:val="0"/>
          <w:rtl/>
          <w:lang w:eastAsia="he-IL"/>
        </w:rPr>
        <w:t xml:space="preserve">, מקום להתערב – ואדגיש </w:t>
      </w:r>
      <w:r w:rsidRPr="00065BDD">
        <w:rPr>
          <w:rFonts w:ascii="David" w:hAnsi="David"/>
          <w:noProof w:val="0"/>
          <w:u w:val="single"/>
          <w:rtl/>
          <w:lang w:eastAsia="he-IL"/>
        </w:rPr>
        <w:t>בענייננו</w:t>
      </w:r>
      <w:r w:rsidRPr="00065BDD">
        <w:rPr>
          <w:rFonts w:ascii="David" w:hAnsi="David"/>
          <w:noProof w:val="0"/>
          <w:rtl/>
          <w:lang w:eastAsia="he-IL"/>
        </w:rPr>
        <w:t>.</w:t>
      </w:r>
    </w:p>
    <w:p w:rsidR="00065BDD" w:rsidRPr="00065BDD" w:rsidRDefault="00065BDD" w:rsidP="00065BDD">
      <w:pPr>
        <w:spacing w:line="360" w:lineRule="auto"/>
        <w:ind w:left="720"/>
        <w:jc w:val="both"/>
        <w:rPr>
          <w:rFonts w:ascii="David" w:hAnsi="David"/>
          <w:noProof w:val="0"/>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הגם שסבור אני, כי נסיבות דומות לנסיבות אלו עשויות להוביל למסקנה שונה מזו אליה יש להגיע במקרה כאן, ולפיה קיימות לבני-הזוג זכויות משותפות בנכס, אין בידי להגיע למסקנה זו בענייננו, וזאת בעיקר נוכח קביעות בית משפט קמא בסוגיה זו, והמסקנה המתבקשת מן הקביעות הללו, כפי שבצדק קבע בית משפט קמא.</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כך לדוגמה ר' פסקה 82 לפסק-הדין:</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2880"/>
        <w:jc w:val="both"/>
        <w:rPr>
          <w:rFonts w:ascii="David" w:hAnsi="David"/>
          <w:noProof w:val="0"/>
          <w:rtl/>
          <w:lang w:eastAsia="he-IL"/>
        </w:rPr>
      </w:pPr>
      <w:r w:rsidRPr="00065BDD">
        <w:rPr>
          <w:rFonts w:ascii="David" w:hAnsi="David"/>
          <w:b/>
          <w:bCs/>
          <w:noProof w:val="0"/>
          <w:rtl/>
          <w:lang w:eastAsia="he-IL"/>
        </w:rPr>
        <w:t>"במישור המשפטי, האישה התקשתה להעמיד עילה קונקרטית המקימה את זכותה בבית המגורים והמרתף בנסיבות בהן נכסים אלה נרכשו והוקמו טרם הנישואין, כל שכן שנים ארוכות לפני הנישואין".</w:t>
      </w:r>
    </w:p>
    <w:p w:rsidR="00065BDD" w:rsidRPr="00065BDD" w:rsidRDefault="00065BDD" w:rsidP="00065BDD">
      <w:pPr>
        <w:spacing w:line="360" w:lineRule="auto"/>
        <w:ind w:left="1701" w:hanging="1701"/>
        <w:jc w:val="both"/>
        <w:rPr>
          <w:rFonts w:ascii="David" w:hAnsi="David"/>
          <w:noProof w:val="0"/>
          <w:rtl/>
          <w:lang w:eastAsia="he-IL"/>
        </w:rPr>
      </w:pPr>
    </w:p>
    <w:p w:rsidR="00065BDD" w:rsidRPr="00065BDD" w:rsidRDefault="00065BDD" w:rsidP="00065BDD">
      <w:pPr>
        <w:spacing w:line="360" w:lineRule="auto"/>
        <w:ind w:left="1701" w:hanging="981"/>
        <w:jc w:val="both"/>
        <w:rPr>
          <w:rFonts w:ascii="David" w:hAnsi="David"/>
          <w:noProof w:val="0"/>
          <w:rtl/>
          <w:lang w:eastAsia="he-IL"/>
        </w:rPr>
      </w:pPr>
      <w:r w:rsidRPr="00065BDD">
        <w:rPr>
          <w:rFonts w:ascii="David" w:hAnsi="David"/>
          <w:noProof w:val="0"/>
          <w:rtl/>
          <w:lang w:eastAsia="he-IL"/>
        </w:rPr>
        <w:t>ובהמשך פסקה 87:</w:t>
      </w:r>
    </w:p>
    <w:p w:rsidR="00065BDD" w:rsidRPr="00065BDD" w:rsidRDefault="00065BDD" w:rsidP="00065BDD">
      <w:pPr>
        <w:spacing w:line="360" w:lineRule="auto"/>
        <w:ind w:left="1701" w:hanging="981"/>
        <w:jc w:val="both"/>
        <w:rPr>
          <w:rFonts w:ascii="David" w:hAnsi="David"/>
          <w:noProof w:val="0"/>
          <w:rtl/>
          <w:lang w:eastAsia="he-IL"/>
        </w:rPr>
      </w:pPr>
    </w:p>
    <w:p w:rsidR="00065BDD" w:rsidRPr="00065BDD" w:rsidRDefault="00065BDD" w:rsidP="00065BDD">
      <w:pPr>
        <w:spacing w:line="360" w:lineRule="auto"/>
        <w:ind w:left="2880"/>
        <w:jc w:val="both"/>
        <w:rPr>
          <w:rFonts w:ascii="David" w:hAnsi="David"/>
          <w:noProof w:val="0"/>
          <w:rtl/>
          <w:lang w:eastAsia="he-IL"/>
        </w:rPr>
      </w:pPr>
      <w:r w:rsidRPr="00065BDD">
        <w:rPr>
          <w:rFonts w:ascii="David" w:hAnsi="David"/>
          <w:b/>
          <w:bCs/>
          <w:noProof w:val="0"/>
          <w:rtl/>
          <w:lang w:eastAsia="he-IL"/>
        </w:rPr>
        <w:t xml:space="preserve">"מן המקובץ עולה, שהאישה לא הניחה בסיס משפטי לטענתה לשותפות או לזכויות קנייניות בבית מתוקף חוק יחסי ממון – </w:t>
      </w:r>
      <w:r w:rsidRPr="00065BDD">
        <w:rPr>
          <w:rFonts w:ascii="David" w:hAnsi="David"/>
          <w:b/>
          <w:bCs/>
          <w:noProof w:val="0"/>
          <w:rtl/>
          <w:lang w:eastAsia="he-IL"/>
        </w:rPr>
        <w:lastRenderedPageBreak/>
        <w:t>בין אם כיוונה להצהרה על זכותה הקניינית ובין אם כיוונה לזכותה לכאורה לקבלת מחצית משווי הנכס מתוקף בעלותה הנטענת".</w:t>
      </w:r>
      <w:r w:rsidRPr="00065BDD">
        <w:rPr>
          <w:rFonts w:ascii="David" w:hAnsi="David"/>
          <w:noProof w:val="0"/>
          <w:rtl/>
          <w:lang w:eastAsia="he-IL"/>
        </w:rPr>
        <w:t xml:space="preserve"> </w:t>
      </w:r>
    </w:p>
    <w:p w:rsidR="00065BDD" w:rsidRPr="00065BDD" w:rsidRDefault="00065BDD" w:rsidP="00065BDD">
      <w:pPr>
        <w:spacing w:line="360" w:lineRule="auto"/>
        <w:ind w:left="1701" w:hanging="1701"/>
        <w:jc w:val="both"/>
        <w:rPr>
          <w:rFonts w:ascii="David" w:hAnsi="David"/>
          <w:noProof w:val="0"/>
          <w:rtl/>
          <w:lang w:eastAsia="he-IL"/>
        </w:rPr>
      </w:pPr>
    </w:p>
    <w:p w:rsidR="00065BDD" w:rsidRPr="00065BDD" w:rsidRDefault="00065BDD" w:rsidP="00065BDD">
      <w:pPr>
        <w:spacing w:line="360" w:lineRule="auto"/>
        <w:ind w:left="793"/>
        <w:jc w:val="both"/>
        <w:rPr>
          <w:rFonts w:ascii="David" w:hAnsi="David"/>
          <w:noProof w:val="0"/>
          <w:rtl/>
          <w:lang w:eastAsia="he-IL"/>
        </w:rPr>
      </w:pPr>
      <w:r w:rsidRPr="00065BDD">
        <w:rPr>
          <w:rFonts w:ascii="David" w:hAnsi="David"/>
          <w:noProof w:val="0"/>
          <w:rtl/>
          <w:lang w:eastAsia="he-IL"/>
        </w:rPr>
        <w:t>יכולת של בן-זוג הטוען לזכויות קנייניות להניח בסיס משפטי-נורמטיבי ממנו נשאבות זכויותיו לגבי נכס שהיה קניינו של בן-הזוג האחר שנים רבות לפני נישואי הצדדים, מהווה תנאי סף לביסוס טענות אלו. בענייננו, היעדר יכולתהּ של המערערת לעשות כן, מעידה כאלף עדים על התוצאה המתבקשת – אליה הגיע בית משפט קמא.</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numPr>
          <w:ilvl w:val="0"/>
          <w:numId w:val="1"/>
        </w:numPr>
        <w:spacing w:after="160" w:line="360" w:lineRule="auto"/>
        <w:jc w:val="both"/>
        <w:rPr>
          <w:rFonts w:ascii="David" w:hAnsi="David"/>
          <w:noProof w:val="0"/>
          <w:lang w:eastAsia="he-IL"/>
        </w:rPr>
      </w:pPr>
      <w:r w:rsidRPr="00065BDD">
        <w:rPr>
          <w:rFonts w:ascii="David" w:hAnsi="David"/>
          <w:noProof w:val="0"/>
          <w:rtl/>
          <w:lang w:eastAsia="he-IL"/>
        </w:rPr>
        <w:t>בד-בבד עם האמור, אין בידי לקבל את מסקנת בית משפט קמא בכל הנוגע לשלוש הדירות, ואני סבור, כי יש לקבל את ערעורהּ של המערערת באופן שייקבע חלף פסק-דינו של בית משפט קמא, כי המערערת זכאית למחצית שוויין של שלוש הדירות שנבנו במהלך חיי הנישואין, ואנמק.</w:t>
      </w:r>
    </w:p>
    <w:p w:rsidR="00065BDD" w:rsidRPr="00065BDD" w:rsidRDefault="00065BDD" w:rsidP="00065BDD">
      <w:pPr>
        <w:spacing w:line="360" w:lineRule="auto"/>
        <w:ind w:left="720"/>
        <w:jc w:val="both"/>
        <w:rPr>
          <w:rFonts w:ascii="David" w:hAnsi="David"/>
          <w:noProof w:val="0"/>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סעיף 5(א) לחוק יחסי ממון קובע כהאי לישנא:</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before="72" w:line="360" w:lineRule="auto"/>
        <w:ind w:left="2880"/>
        <w:jc w:val="both"/>
        <w:rPr>
          <w:rFonts w:ascii="David" w:hAnsi="David"/>
          <w:b/>
          <w:bCs/>
          <w:noProof w:val="0"/>
          <w:color w:val="000000"/>
          <w:rtl/>
        </w:rPr>
      </w:pPr>
      <w:r w:rsidRPr="00065BDD">
        <w:rPr>
          <w:rFonts w:ascii="David" w:hAnsi="David"/>
          <w:b/>
          <w:bCs/>
          <w:noProof w:val="0"/>
          <w:color w:val="000000"/>
          <w:rtl/>
        </w:rPr>
        <w:t>"עם התרת הנישואין או עם פקיעת הנישואין עקב מותו של בן זוג (בחוק זה – פקיעת הנישואין) זכאי כל אחד מבני הזוג למחצית שוויים של כלל נכסי בני הזוג, למעט –</w:t>
      </w:r>
    </w:p>
    <w:p w:rsidR="00065BDD" w:rsidRPr="00065BDD" w:rsidRDefault="00065BDD" w:rsidP="00065BDD">
      <w:pPr>
        <w:spacing w:before="72" w:line="360" w:lineRule="auto"/>
        <w:ind w:left="2880"/>
        <w:jc w:val="both"/>
        <w:rPr>
          <w:rFonts w:ascii="David" w:hAnsi="David"/>
          <w:b/>
          <w:bCs/>
          <w:noProof w:val="0"/>
          <w:color w:val="000000"/>
        </w:rPr>
      </w:pPr>
      <w:r w:rsidRPr="00065BDD">
        <w:rPr>
          <w:rFonts w:ascii="David" w:hAnsi="David"/>
          <w:b/>
          <w:bCs/>
          <w:noProof w:val="0"/>
          <w:color w:val="000000"/>
          <w:rtl/>
        </w:rPr>
        <w:t>(1)   נכסים שהיו להם ערב הנישואין או שקיבלו במתנה או בירושה בתקופת הנישואין;</w:t>
      </w:r>
    </w:p>
    <w:p w:rsidR="00065BDD" w:rsidRPr="00065BDD" w:rsidRDefault="00065BDD" w:rsidP="00065BDD">
      <w:pPr>
        <w:spacing w:before="72" w:line="360" w:lineRule="auto"/>
        <w:ind w:left="2880"/>
        <w:jc w:val="both"/>
        <w:rPr>
          <w:rFonts w:ascii="David" w:hAnsi="David"/>
          <w:b/>
          <w:bCs/>
          <w:noProof w:val="0"/>
          <w:color w:val="000000"/>
          <w:rtl/>
        </w:rPr>
      </w:pPr>
      <w:r w:rsidRPr="00065BDD">
        <w:rPr>
          <w:rFonts w:ascii="David" w:hAnsi="David"/>
          <w:b/>
          <w:bCs/>
          <w:noProof w:val="0"/>
          <w:color w:val="000000"/>
          <w:rtl/>
        </w:rPr>
        <w:t>(2)   גימלה המשתלמת לאחד מבני הזוג על-ידי המוסד לביטוח לאומי, או גימלה או פיצוי שנפסקו או המגיעים על פי חיקוק לאחד מבני-הזוג בשל נזק גוף, או מוות;</w:t>
      </w:r>
    </w:p>
    <w:p w:rsidR="00065BDD" w:rsidRPr="00065BDD" w:rsidRDefault="00065BDD" w:rsidP="00065BDD">
      <w:pPr>
        <w:spacing w:before="72" w:line="360" w:lineRule="auto"/>
        <w:ind w:left="2880"/>
        <w:jc w:val="both"/>
        <w:rPr>
          <w:rFonts w:ascii="David" w:hAnsi="David"/>
          <w:b/>
          <w:bCs/>
          <w:noProof w:val="0"/>
          <w:color w:val="000000"/>
          <w:rtl/>
        </w:rPr>
      </w:pPr>
      <w:r w:rsidRPr="00065BDD">
        <w:rPr>
          <w:rFonts w:ascii="David" w:hAnsi="David"/>
          <w:b/>
          <w:bCs/>
          <w:noProof w:val="0"/>
          <w:color w:val="000000"/>
          <w:rtl/>
        </w:rPr>
        <w:t>(3)   נכסים שבני הזוג הסכימו בכתב ששוויים לא יאוזן ביניהם."</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כאמור כבר לעיל, קבע בית משפט קמא, כי במהלך הנישואין, נבנו על הבית שלוש קומות נוספות, ברמות גימור שונות, וכי ניתן להפריד בין דירות אלו לבין בית המגורים והמרתף, לגביהם נקבע, כי הם קניינו המוחלט של המשיב.</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lastRenderedPageBreak/>
        <w:t>נוכח האמור, ברי, כי בענייננו מדובר בטענות הנטועות בחוק יחסי ממון, וכי בנסיבות אלו אין נפקות לאותן אבני-בוחן שנבחנו על-ידי בית משפט קמא.</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מצאתי לנכון להתייחס לאותן שתי אבני-בוחן עליהן מושתתת – בעיקר -  הכרעת בית משפט קמא: הראשונה, העובדה, כי המערערת צברה כספים גם באופן אישי ועצמאי בחשבון שניהלה במשותף עם אביה, וכי הכספים שנתנה המערערת לבניית שלוש הדירות היו בבחינת הלוואה למשיב, אשר הוחזרה לה על-ידו, והשנייה, התרשמות בית משפט קמא, כי התנהלות המערערת הייתה נגועה בהיעדר תום-לב והגינות.</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גם אם אקבל התרשמות זו כקביעה עובדתית שנקבעה על-ידי הערכאה הדיונית, ואשר, כאמור כבר לעיל מידת התערבות ערכאת הערעור בגדריה מצומצמת, אין בידי לקבל – ולו בדוחק – את המסקנות המשפטיות אליהן הגיע בית משפט קמא.</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ראשית, אין נפקות בענייננו לעובדה, כי המערערת צברה כספים באופן עצמאי הואיל וכספים אלו אוזנו על-ידי בית משפט קמא במסגרת הכרעתו. משמעות התוצאה אליה הגיע בית משפט קמא היא הלכה למעשה, כי הכספים אותם צברה האישה במהלך נישואי הצדדים יאוזנו בעוד הדירות שנבנו בתקופה זו יוותרו בידי המשיב ולא יאוזנו (שווי הדירות), וברי, כי אין בידי להסכים עם תוצאה זו.</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אף המסקנה לפיה הואיל ונקבע, כי המערערת העבירה כספים למשיב כהלוואה שהושבה לה על-ידו, אינה יכולה להוביל לתוצאה אליה הגיע בית משפט קמא, מקל וחומר שעה שאותם כספים אוזנו על-י</w:t>
      </w:r>
      <w:r w:rsidR="00CF1701">
        <w:rPr>
          <w:rFonts w:ascii="David" w:hAnsi="David"/>
          <w:noProof w:val="0"/>
          <w:rtl/>
          <w:lang w:eastAsia="he-IL"/>
        </w:rPr>
        <w:t xml:space="preserve">דו. כאמור, תוצאה זו אינה עומדת </w:t>
      </w:r>
      <w:r w:rsidR="00CF1701">
        <w:rPr>
          <w:rFonts w:ascii="David" w:hAnsi="David" w:hint="cs"/>
          <w:noProof w:val="0"/>
          <w:rtl/>
          <w:lang w:eastAsia="he-IL"/>
        </w:rPr>
        <w:t xml:space="preserve">עם </w:t>
      </w:r>
      <w:r w:rsidRPr="00065BDD">
        <w:rPr>
          <w:rFonts w:ascii="David" w:hAnsi="David"/>
          <w:noProof w:val="0"/>
          <w:rtl/>
          <w:lang w:eastAsia="he-IL"/>
        </w:rPr>
        <w:t>קביעותיו של בית משפט קמא עצמו, ואף לא עם הוראות החוק והלכות בית המשפט העליון.</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באשר למסקנת בית משפט קמא, כי התנהלותהּ נעדרת תום-הלב של המערערת, לשיטתו, מובילה לאיון זכויותיה החוקיות, וזאת בשים-לב להורא</w:t>
      </w:r>
      <w:r>
        <w:rPr>
          <w:rFonts w:ascii="David" w:hAnsi="David" w:hint="cs"/>
          <w:noProof w:val="0"/>
          <w:rtl/>
          <w:lang w:eastAsia="he-IL"/>
        </w:rPr>
        <w:t>ו</w:t>
      </w:r>
      <w:r w:rsidRPr="00065BDD">
        <w:rPr>
          <w:rFonts w:ascii="David" w:hAnsi="David"/>
          <w:noProof w:val="0"/>
          <w:rtl/>
          <w:lang w:eastAsia="he-IL"/>
        </w:rPr>
        <w:t xml:space="preserve">ת חוק יחסי ממון, אשר מאפשרות לבית המשפט שיקול-דעת נרחב בכל הנוגע לאיזון המשאבים. מסקנות אלו אינן עולות בקנה אחד עם פסיקה עקבית של בית המשפט העליון, לפיה זכויותיו של בן-זוג לא ייפגעו נוכח רכיב של "אשמה" –כזו או אחרת – מלבד במקרים של אלימות קיצונית. </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720"/>
        <w:jc w:val="both"/>
        <w:rPr>
          <w:rFonts w:ascii="David" w:hAnsi="David"/>
          <w:noProof w:val="0"/>
          <w:rtl/>
          <w:lang w:eastAsia="he-IL"/>
        </w:rPr>
      </w:pPr>
      <w:r w:rsidRPr="00065BDD">
        <w:rPr>
          <w:rFonts w:ascii="David" w:hAnsi="David"/>
          <w:noProof w:val="0"/>
          <w:rtl/>
          <w:lang w:eastAsia="he-IL"/>
        </w:rPr>
        <w:t xml:space="preserve">אפנה לדבריה של כב' השופטת ד. ברק-ארז ב-בע"מ 7272/10 </w:t>
      </w:r>
      <w:r w:rsidRPr="00065BDD">
        <w:rPr>
          <w:rFonts w:ascii="David" w:hAnsi="David"/>
          <w:b/>
          <w:bCs/>
          <w:noProof w:val="0"/>
          <w:rtl/>
          <w:lang w:eastAsia="he-IL"/>
        </w:rPr>
        <w:t>פלונית נ' פלוני</w:t>
      </w:r>
      <w:r w:rsidRPr="00065BDD">
        <w:rPr>
          <w:rFonts w:ascii="David" w:hAnsi="David"/>
          <w:noProof w:val="0"/>
          <w:rtl/>
          <w:lang w:eastAsia="he-IL"/>
        </w:rPr>
        <w:t xml:space="preserve"> (07.01.2014), פסקה 24:</w:t>
      </w:r>
    </w:p>
    <w:p w:rsidR="00065BDD" w:rsidRPr="00065BDD" w:rsidRDefault="00065BDD" w:rsidP="00065BDD">
      <w:pPr>
        <w:spacing w:line="360" w:lineRule="auto"/>
        <w:ind w:left="720"/>
        <w:jc w:val="both"/>
        <w:rPr>
          <w:rFonts w:ascii="David" w:hAnsi="David"/>
          <w:noProof w:val="0"/>
          <w:rtl/>
          <w:lang w:eastAsia="he-IL"/>
        </w:rPr>
      </w:pPr>
    </w:p>
    <w:p w:rsidR="00065BDD" w:rsidRPr="00065BDD" w:rsidRDefault="00065BDD" w:rsidP="00065BDD">
      <w:pPr>
        <w:spacing w:line="360" w:lineRule="auto"/>
        <w:ind w:left="2880"/>
        <w:jc w:val="both"/>
        <w:rPr>
          <w:rFonts w:ascii="David" w:hAnsi="David"/>
          <w:b/>
          <w:bCs/>
          <w:noProof w:val="0"/>
          <w:color w:val="000000"/>
          <w:rtl/>
          <w:lang w:eastAsia="he-IL"/>
        </w:rPr>
      </w:pPr>
      <w:r w:rsidRPr="00065BDD">
        <w:rPr>
          <w:rFonts w:ascii="David" w:hAnsi="David"/>
          <w:b/>
          <w:bCs/>
          <w:noProof w:val="0"/>
          <w:color w:val="000000"/>
          <w:spacing w:val="10"/>
          <w:rtl/>
          <w:lang w:eastAsia="he-IL"/>
        </w:rPr>
        <w:lastRenderedPageBreak/>
        <w:t>"</w:t>
      </w:r>
      <w:hyperlink r:id="rId8" w:history="1">
        <w:r w:rsidRPr="00065BDD">
          <w:rPr>
            <w:rFonts w:ascii="David" w:hAnsi="David"/>
            <w:b/>
            <w:bCs/>
            <w:noProof w:val="0"/>
            <w:color w:val="000000"/>
            <w:spacing w:val="10"/>
            <w:rtl/>
            <w:lang w:eastAsia="he-IL"/>
          </w:rPr>
          <w:t>חוק יחסי ממון</w:t>
        </w:r>
      </w:hyperlink>
      <w:r w:rsidRPr="00065BDD">
        <w:rPr>
          <w:rFonts w:ascii="David" w:hAnsi="David"/>
          <w:b/>
          <w:bCs/>
          <w:noProof w:val="0"/>
          <w:color w:val="000000"/>
          <w:spacing w:val="10"/>
          <w:rtl/>
          <w:lang w:eastAsia="he-IL"/>
        </w:rPr>
        <w:t xml:space="preserve"> נועד להסדיר את חלוקת הרכוש בין בני הזוג באופן שהעמיד במרכזו את המאמץ הכלכלי המשותף שלהם במסגרת היחידה המשפחתית. ההסדר שבחוק ביקש, בעיקרו של דבר, לנטרל שיקולים הנוגעים לאשם במערכת היחסים הזוגית, בהתחשב בתכליתו הכלכלית של החוק".</w:t>
      </w:r>
    </w:p>
    <w:p w:rsidR="00065BDD" w:rsidRPr="00065BDD" w:rsidRDefault="00065BDD" w:rsidP="00065BDD">
      <w:pPr>
        <w:spacing w:line="360" w:lineRule="auto"/>
        <w:ind w:left="1701" w:hanging="1701"/>
        <w:jc w:val="both"/>
        <w:rPr>
          <w:rFonts w:ascii="David" w:hAnsi="David"/>
          <w:b/>
          <w:bCs/>
          <w:noProof w:val="0"/>
          <w:color w:val="000000"/>
          <w:rtl/>
          <w:lang w:eastAsia="he-IL"/>
        </w:rPr>
      </w:pPr>
    </w:p>
    <w:p w:rsidR="00065BDD" w:rsidRPr="00065BDD" w:rsidRDefault="00065BDD" w:rsidP="00065BDD">
      <w:pPr>
        <w:spacing w:line="360" w:lineRule="auto"/>
        <w:ind w:left="651"/>
        <w:jc w:val="both"/>
        <w:rPr>
          <w:rFonts w:ascii="David" w:hAnsi="David"/>
          <w:noProof w:val="0"/>
          <w:color w:val="000000"/>
          <w:rtl/>
          <w:lang w:eastAsia="he-IL"/>
        </w:rPr>
      </w:pPr>
      <w:r w:rsidRPr="00065BDD">
        <w:rPr>
          <w:rFonts w:ascii="David" w:hAnsi="David"/>
          <w:noProof w:val="0"/>
          <w:color w:val="000000"/>
          <w:rtl/>
          <w:lang w:eastAsia="he-IL"/>
        </w:rPr>
        <w:t>בהמשך נקבע במשורה, כי במקרים של אלימות קיצונית, ניתן לבחון את רכיב "האשמה", ר' פסקה 26:</w:t>
      </w:r>
    </w:p>
    <w:p w:rsidR="00065BDD" w:rsidRPr="00065BDD" w:rsidRDefault="00065BDD" w:rsidP="00065BDD">
      <w:pPr>
        <w:spacing w:line="360" w:lineRule="auto"/>
        <w:ind w:left="651"/>
        <w:jc w:val="both"/>
        <w:rPr>
          <w:rFonts w:ascii="David" w:hAnsi="David"/>
          <w:noProof w:val="0"/>
          <w:color w:val="000000"/>
          <w:rtl/>
          <w:lang w:eastAsia="he-IL"/>
        </w:rPr>
      </w:pPr>
    </w:p>
    <w:p w:rsidR="00065BDD" w:rsidRPr="00065BDD" w:rsidRDefault="00065BDD" w:rsidP="00065BDD">
      <w:pPr>
        <w:spacing w:line="360" w:lineRule="auto"/>
        <w:ind w:left="2880"/>
        <w:jc w:val="both"/>
        <w:rPr>
          <w:rFonts w:ascii="David" w:hAnsi="David"/>
          <w:noProof w:val="0"/>
          <w:color w:val="000000"/>
          <w:rtl/>
          <w:lang w:eastAsia="he-IL"/>
        </w:rPr>
      </w:pPr>
      <w:r w:rsidRPr="00065BDD">
        <w:rPr>
          <w:rFonts w:ascii="David" w:hAnsi="David"/>
          <w:b/>
          <w:bCs/>
          <w:noProof w:val="0"/>
          <w:color w:val="000000"/>
          <w:spacing w:val="10"/>
          <w:rtl/>
          <w:lang w:eastAsia="he-IL"/>
        </w:rPr>
        <w:t xml:space="preserve">"לשיטתי, מבלי לסטות מן הרציונל הבסיסי של </w:t>
      </w:r>
      <w:hyperlink r:id="rId9" w:history="1">
        <w:r w:rsidRPr="00065BDD">
          <w:rPr>
            <w:rFonts w:ascii="David" w:hAnsi="David"/>
            <w:b/>
            <w:bCs/>
            <w:noProof w:val="0"/>
            <w:color w:val="000000"/>
            <w:spacing w:val="10"/>
            <w:rtl/>
            <w:lang w:eastAsia="he-IL"/>
          </w:rPr>
          <w:t>חוק יחסי ממון</w:t>
        </w:r>
      </w:hyperlink>
      <w:r w:rsidRPr="00065BDD">
        <w:rPr>
          <w:rFonts w:ascii="David" w:hAnsi="David"/>
          <w:b/>
          <w:bCs/>
          <w:noProof w:val="0"/>
          <w:color w:val="000000"/>
          <w:spacing w:val="10"/>
          <w:rtl/>
          <w:lang w:eastAsia="he-IL"/>
        </w:rPr>
        <w:t xml:space="preserve">, עשוי להיות  מקום, במקרים קיצוניים של אלימות, להביא עובדה זו בחשבון איזון המשאבים, או חלקם. אני סבורה, שהכרה בכך, באופן מתוחם, זהיר ומוגבל, אינה גורעת מן התפיסה ששיקולים של אשם במערכת היחסים הזוגית נותרים </w:t>
      </w:r>
      <w:r w:rsidRPr="00065BDD">
        <w:rPr>
          <w:rFonts w:ascii="David" w:hAnsi="David"/>
          <w:b/>
          <w:bCs/>
          <w:noProof w:val="0"/>
          <w:color w:val="000000"/>
          <w:rtl/>
          <w:lang w:eastAsia="he-IL"/>
        </w:rPr>
        <w:t>מחוץ</w:t>
      </w:r>
      <w:r w:rsidRPr="00065BDD">
        <w:rPr>
          <w:rFonts w:ascii="David" w:hAnsi="David"/>
          <w:b/>
          <w:bCs/>
          <w:noProof w:val="0"/>
          <w:color w:val="000000"/>
          <w:spacing w:val="10"/>
          <w:rtl/>
          <w:lang w:eastAsia="he-IL"/>
        </w:rPr>
        <w:t xml:space="preserve"> לאיזון המשאבים...."</w:t>
      </w:r>
    </w:p>
    <w:p w:rsidR="00065BDD" w:rsidRPr="00065BDD" w:rsidRDefault="00065BDD" w:rsidP="00065BDD">
      <w:pPr>
        <w:spacing w:line="360" w:lineRule="auto"/>
        <w:ind w:left="1701" w:hanging="1701"/>
        <w:jc w:val="both"/>
        <w:rPr>
          <w:rFonts w:ascii="David" w:hAnsi="David"/>
          <w:b/>
          <w:bCs/>
          <w:noProof w:val="0"/>
          <w:color w:val="000000"/>
          <w:rtl/>
          <w:lang w:eastAsia="he-IL"/>
        </w:rPr>
      </w:pPr>
    </w:p>
    <w:p w:rsidR="00065BDD" w:rsidRPr="00065BDD" w:rsidRDefault="00065BDD" w:rsidP="00065BDD">
      <w:pPr>
        <w:spacing w:line="360" w:lineRule="auto"/>
        <w:ind w:left="651"/>
        <w:jc w:val="both"/>
        <w:rPr>
          <w:rFonts w:ascii="David" w:hAnsi="David"/>
          <w:noProof w:val="0"/>
          <w:rtl/>
          <w:lang w:eastAsia="he-IL"/>
        </w:rPr>
      </w:pPr>
      <w:r w:rsidRPr="00065BDD">
        <w:rPr>
          <w:rFonts w:ascii="David" w:hAnsi="David"/>
          <w:noProof w:val="0"/>
          <w:color w:val="000000"/>
          <w:rtl/>
          <w:lang w:eastAsia="he-IL"/>
        </w:rPr>
        <w:t>נוכח הנסיבות בענייננו, שעה שברי, כי אין מדובר באותו חריג ספציפי, וכי הצדדים ריכזו מאמץ כלכלי משותף במסגרת התא-המשפחתי שלהם, אשר בא לידי ביטוי, בין היתר, בכך, שנסעו יחד לשהות</w:t>
      </w:r>
      <w:r w:rsidR="00CF1701">
        <w:rPr>
          <w:rFonts w:ascii="David" w:hAnsi="David"/>
          <w:noProof w:val="0"/>
          <w:color w:val="000000"/>
          <w:rtl/>
          <w:lang w:eastAsia="he-IL"/>
        </w:rPr>
        <w:t xml:space="preserve"> פרק זמן לא מבוטל בחו"ל, וכי אח</w:t>
      </w:r>
      <w:r w:rsidR="00CF1701">
        <w:rPr>
          <w:rFonts w:ascii="David" w:hAnsi="David" w:hint="cs"/>
          <w:noProof w:val="0"/>
          <w:color w:val="000000"/>
          <w:rtl/>
          <w:lang w:eastAsia="he-IL"/>
        </w:rPr>
        <w:t>ת</w:t>
      </w:r>
      <w:r w:rsidR="00CF1701">
        <w:rPr>
          <w:rFonts w:ascii="David" w:hAnsi="David"/>
          <w:noProof w:val="0"/>
          <w:color w:val="000000"/>
          <w:rtl/>
          <w:lang w:eastAsia="he-IL"/>
        </w:rPr>
        <w:t xml:space="preserve"> מתוצאות מאמץ כלכלי זה ה</w:t>
      </w:r>
      <w:r w:rsidR="00CF1701">
        <w:rPr>
          <w:rFonts w:ascii="David" w:hAnsi="David" w:hint="cs"/>
          <w:noProof w:val="0"/>
          <w:color w:val="000000"/>
          <w:rtl/>
          <w:lang w:eastAsia="he-IL"/>
        </w:rPr>
        <w:t>י</w:t>
      </w:r>
      <w:r w:rsidRPr="00065BDD">
        <w:rPr>
          <w:rFonts w:ascii="David" w:hAnsi="David"/>
          <w:noProof w:val="0"/>
          <w:color w:val="000000"/>
          <w:rtl/>
          <w:lang w:eastAsia="he-IL"/>
        </w:rPr>
        <w:t>א בניית שלוש הדירות</w:t>
      </w:r>
      <w:r w:rsidRPr="00065BDD">
        <w:rPr>
          <w:rFonts w:ascii="David" w:hAnsi="David"/>
          <w:noProof w:val="0"/>
          <w:rtl/>
          <w:lang w:eastAsia="he-IL"/>
        </w:rPr>
        <w:t>, אין בידי לקבל, כי איון זכויותיה הכלכליות של המערערת לאיזון שוויין של דירות אלו היא תוצאה משפטית נכונה וראויה.</w:t>
      </w:r>
    </w:p>
    <w:p w:rsidR="00065BDD" w:rsidRPr="00065BDD" w:rsidRDefault="00065BDD" w:rsidP="00065BDD">
      <w:pPr>
        <w:spacing w:line="360" w:lineRule="auto"/>
        <w:ind w:left="651"/>
        <w:jc w:val="both"/>
        <w:rPr>
          <w:rFonts w:ascii="David" w:hAnsi="David"/>
          <w:noProof w:val="0"/>
          <w:rtl/>
          <w:lang w:eastAsia="he-IL"/>
        </w:rPr>
      </w:pPr>
    </w:p>
    <w:p w:rsidR="00065BDD" w:rsidRPr="00065BDD" w:rsidRDefault="00065BDD" w:rsidP="00065BDD">
      <w:pPr>
        <w:spacing w:line="360" w:lineRule="auto"/>
        <w:ind w:left="651"/>
        <w:jc w:val="both"/>
        <w:rPr>
          <w:rFonts w:ascii="David" w:hAnsi="David"/>
          <w:noProof w:val="0"/>
          <w:rtl/>
          <w:lang w:eastAsia="he-IL"/>
        </w:rPr>
      </w:pPr>
      <w:r w:rsidRPr="00065BDD">
        <w:rPr>
          <w:rFonts w:ascii="David" w:hAnsi="David"/>
          <w:noProof w:val="0"/>
          <w:rtl/>
          <w:lang w:eastAsia="he-IL"/>
        </w:rPr>
        <w:t>על יסוד כל האמור לעיל, סבור אני – וכך אציע לחברתי וחברי – יש לקבל חלקית את הערעור של המערערת, ולקבוע חלף כל האמור בפסק-דינו של בית משפט קמא בכל הנוגע לזכויות המערערת בשלוש הדירות, לרבות החזר שווי ההשקעה, כי היא זכאית למחצית משווי שלוש הדירות, והשטחים הקשורים אליהן, היינו, סך של 925,000 ₪ (מחצית: 800,000 ₪ שווי קומה א' +650,000 ₪ קומה ב'+400,000 ₪ קומה ג').</w:t>
      </w:r>
    </w:p>
    <w:p w:rsidR="00065BDD" w:rsidRPr="00065BDD" w:rsidRDefault="00065BDD" w:rsidP="00065BDD">
      <w:pPr>
        <w:spacing w:line="360" w:lineRule="auto"/>
        <w:ind w:left="651"/>
        <w:jc w:val="both"/>
        <w:rPr>
          <w:rFonts w:ascii="David" w:hAnsi="David"/>
          <w:noProof w:val="0"/>
          <w:rtl/>
          <w:lang w:eastAsia="he-IL"/>
        </w:rPr>
      </w:pPr>
    </w:p>
    <w:p w:rsidR="00065BDD" w:rsidRPr="00065BDD" w:rsidRDefault="00065BDD" w:rsidP="00065BDD">
      <w:pPr>
        <w:spacing w:line="360" w:lineRule="auto"/>
        <w:ind w:left="651"/>
        <w:jc w:val="both"/>
        <w:rPr>
          <w:rFonts w:ascii="David" w:hAnsi="David"/>
          <w:noProof w:val="0"/>
          <w:rtl/>
          <w:lang w:eastAsia="he-IL"/>
        </w:rPr>
      </w:pPr>
      <w:r w:rsidRPr="00065BDD">
        <w:rPr>
          <w:rFonts w:ascii="David" w:hAnsi="David"/>
          <w:noProof w:val="0"/>
          <w:rtl/>
          <w:lang w:eastAsia="he-IL"/>
        </w:rPr>
        <w:t>יודגש לעניין זה, כי התוצאה אליה הגיע בית משפט קמא, ולפיה יושב למערערת חלקה בהשקעות שלוש הדירות, אינה תואמת את הוראות חוק יחסי ממון, שקובע, כאמור לעיל, כי "</w:t>
      </w:r>
      <w:r w:rsidRPr="00065BDD">
        <w:rPr>
          <w:rFonts w:ascii="David" w:hAnsi="David"/>
          <w:b/>
          <w:bCs/>
          <w:noProof w:val="0"/>
          <w:color w:val="000000"/>
          <w:rtl/>
          <w:lang w:eastAsia="he-IL"/>
        </w:rPr>
        <w:t>זכאי כל אחד מבני הזוג למחצית שוויים של כלל נכסי בני הזוג</w:t>
      </w:r>
      <w:r w:rsidRPr="00065BDD">
        <w:rPr>
          <w:rFonts w:ascii="David" w:hAnsi="David"/>
          <w:noProof w:val="0"/>
          <w:rtl/>
          <w:lang w:eastAsia="he-IL"/>
        </w:rPr>
        <w:t>" – ולא מחצית מן ההשקעות שבוצעו בנכסים.</w:t>
      </w:r>
    </w:p>
    <w:p w:rsidR="00065BDD" w:rsidRPr="00065BDD" w:rsidRDefault="00065BDD" w:rsidP="00065BDD">
      <w:pPr>
        <w:spacing w:line="360" w:lineRule="auto"/>
        <w:ind w:left="651"/>
        <w:jc w:val="both"/>
        <w:rPr>
          <w:rFonts w:ascii="David" w:hAnsi="David"/>
          <w:noProof w:val="0"/>
          <w:rtl/>
          <w:lang w:eastAsia="he-IL"/>
        </w:rPr>
      </w:pPr>
    </w:p>
    <w:p w:rsidR="00065BDD" w:rsidRPr="00065BDD" w:rsidRDefault="00065BDD" w:rsidP="00065BDD">
      <w:pPr>
        <w:spacing w:line="360" w:lineRule="auto"/>
        <w:ind w:left="651"/>
        <w:jc w:val="both"/>
        <w:rPr>
          <w:rFonts w:ascii="David" w:hAnsi="David"/>
          <w:noProof w:val="0"/>
          <w:rtl/>
          <w:lang w:eastAsia="he-IL"/>
        </w:rPr>
      </w:pPr>
      <w:r w:rsidRPr="00065BDD">
        <w:rPr>
          <w:rFonts w:ascii="David" w:hAnsi="David"/>
          <w:noProof w:val="0"/>
          <w:rtl/>
          <w:lang w:eastAsia="he-IL"/>
        </w:rPr>
        <w:lastRenderedPageBreak/>
        <w:t xml:space="preserve">בנוסף אציין, כי קיים בתוצאה, לפיה יושב למערערת שווי ההשקעה בשלוש הדירות, כשל הואיל וברי, כי שווי ההשקעות שנעשו לפני שנים רבות בנכס מקרקעין, אינו זהה לשווין כעת, וכי תוצאה זו אף אינה עולה בקנה אחד, לטעמי, עם התכליות הכלכליות שמצויות בבסיס חוק יחסי ממון. </w:t>
      </w:r>
    </w:p>
    <w:p w:rsidR="00065BDD" w:rsidRPr="00065BDD" w:rsidRDefault="00065BDD" w:rsidP="00065BDD">
      <w:pPr>
        <w:spacing w:line="360" w:lineRule="auto"/>
        <w:ind w:left="651"/>
        <w:jc w:val="both"/>
        <w:rPr>
          <w:rFonts w:ascii="David" w:hAnsi="David"/>
          <w:noProof w:val="0"/>
          <w:rtl/>
          <w:lang w:eastAsia="he-IL"/>
        </w:rPr>
      </w:pPr>
    </w:p>
    <w:p w:rsidR="0000123F" w:rsidRPr="00065BDD" w:rsidRDefault="00065BDD" w:rsidP="00065BDD">
      <w:pPr>
        <w:spacing w:line="360" w:lineRule="auto"/>
        <w:ind w:left="651"/>
        <w:jc w:val="both"/>
        <w:rPr>
          <w:rFonts w:ascii="David" w:hAnsi="David"/>
          <w:noProof w:val="0"/>
          <w:rtl/>
          <w:lang w:eastAsia="he-IL"/>
        </w:rPr>
      </w:pPr>
      <w:r w:rsidRPr="00065BDD">
        <w:rPr>
          <w:rFonts w:ascii="David" w:hAnsi="David"/>
          <w:noProof w:val="0"/>
          <w:rtl/>
          <w:lang w:eastAsia="he-IL"/>
        </w:rPr>
        <w:t>בנסיבות העניין, סבור אני, כי על המשיב לשאת בהוצאותיה של המערערת בסך של 7,500 ₪.</w:t>
      </w:r>
    </w:p>
    <w:p w:rsidR="00083FFC" w:rsidRDefault="00083FFC" w:rsidP="003E0925">
      <w:pPr>
        <w:pStyle w:val="ad"/>
        <w:shd w:val="clear" w:color="auto" w:fill="auto"/>
        <w:spacing w:line="360" w:lineRule="auto"/>
        <w:jc w:val="both"/>
        <w:rPr>
          <w:rFonts w:ascii="David" w:hAnsi="David" w:cs="David"/>
          <w:b w:val="0"/>
          <w:bCs w:val="0"/>
          <w:sz w:val="24"/>
          <w:szCs w:val="24"/>
          <w:u w:val="none"/>
          <w:rtl/>
        </w:rPr>
      </w:pPr>
    </w:p>
    <w:tbl>
      <w:tblPr>
        <w:tblStyle w:val="40"/>
        <w:tblpPr w:leftFromText="180" w:rightFromText="180" w:vertAnchor="text" w:horzAnchor="page" w:tblpX="2505" w:tblpY="39"/>
        <w:bidiVisua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77"/>
      </w:tblGrid>
      <w:tr w:rsidR="003E0925" w:rsidRPr="00083FFC" w:rsidTr="003E0925">
        <w:tc>
          <w:tcPr>
            <w:tcW w:w="2977" w:type="dxa"/>
            <w:tcBorders>
              <w:top w:val="nil"/>
              <w:left w:val="nil"/>
              <w:bottom w:val="single" w:sz="4" w:space="0" w:color="auto"/>
              <w:right w:val="nil"/>
            </w:tcBorders>
            <w:vAlign w:val="bottom"/>
            <w:hideMark/>
          </w:tcPr>
          <w:p w:rsidR="003E0925" w:rsidRPr="00083FFC" w:rsidRDefault="003E0925" w:rsidP="003E0925">
            <w:pPr>
              <w:jc w:val="center"/>
              <w:rPr>
                <w:rFonts w:ascii="Courier New" w:eastAsia="David" w:hAnsi="Courier New" w:cs="Times New Roman"/>
                <w:b/>
                <w:bCs/>
                <w:noProof w:val="0"/>
              </w:rPr>
            </w:pPr>
            <w:r w:rsidRPr="00083FFC">
              <w:rPr>
                <w:rFonts w:ascii="David" w:eastAsia="David" w:hAnsi="David"/>
              </w:rPr>
              <w:drawing>
                <wp:inline distT="0" distB="0" distL="0" distR="0" wp14:anchorId="7BB0EDE9" wp14:editId="4DA3F8AF">
                  <wp:extent cx="922655" cy="1065530"/>
                  <wp:effectExtent l="0" t="0" r="0" b="1270"/>
                  <wp:docPr id="22"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2655" cy="1065530"/>
                          </a:xfrm>
                          <a:prstGeom prst="rect">
                            <a:avLst/>
                          </a:prstGeom>
                          <a:noFill/>
                          <a:ln>
                            <a:noFill/>
                          </a:ln>
                        </pic:spPr>
                      </pic:pic>
                    </a:graphicData>
                  </a:graphic>
                </wp:inline>
              </w:drawing>
            </w:r>
          </w:p>
        </w:tc>
      </w:tr>
      <w:tr w:rsidR="003E0925" w:rsidRPr="00083FFC" w:rsidTr="003E0925">
        <w:tc>
          <w:tcPr>
            <w:tcW w:w="2977" w:type="dxa"/>
            <w:tcBorders>
              <w:top w:val="single" w:sz="4" w:space="0" w:color="auto"/>
              <w:left w:val="nil"/>
              <w:bottom w:val="nil"/>
              <w:right w:val="nil"/>
            </w:tcBorders>
            <w:hideMark/>
          </w:tcPr>
          <w:p w:rsidR="003E0925" w:rsidRPr="00083FFC" w:rsidRDefault="003E0925" w:rsidP="003E0925">
            <w:pPr>
              <w:jc w:val="center"/>
              <w:rPr>
                <w:rFonts w:ascii="David" w:eastAsia="David" w:hAnsi="David"/>
                <w:b/>
                <w:bCs/>
              </w:rPr>
            </w:pPr>
            <w:r w:rsidRPr="00083FFC">
              <w:rPr>
                <w:rFonts w:ascii="David" w:eastAsia="David" w:hAnsi="David" w:hint="cs"/>
                <w:b/>
                <w:bCs/>
                <w:noProof w:val="0"/>
                <w:rtl/>
              </w:rPr>
              <w:t>ס. ג'יוסי, שופט</w:t>
            </w:r>
            <w:r w:rsidRPr="00083FFC">
              <w:rPr>
                <w:rFonts w:ascii="David" w:eastAsia="David" w:hAnsi="David" w:hint="cs"/>
                <w:b/>
                <w:bCs/>
                <w:rtl/>
              </w:rPr>
              <w:br/>
              <w:t>[אב"ד]</w:t>
            </w:r>
          </w:p>
        </w:tc>
      </w:tr>
    </w:tbl>
    <w:p w:rsidR="0000123F" w:rsidRDefault="0000123F" w:rsidP="0000123F">
      <w:pPr>
        <w:pStyle w:val="ad"/>
        <w:shd w:val="clear" w:color="auto" w:fill="auto"/>
        <w:spacing w:line="360" w:lineRule="auto"/>
        <w:ind w:left="720" w:firstLine="0"/>
        <w:jc w:val="both"/>
        <w:rPr>
          <w:rFonts w:ascii="David" w:hAnsi="David" w:cs="David"/>
          <w:b w:val="0"/>
          <w:bCs w:val="0"/>
          <w:sz w:val="24"/>
          <w:szCs w:val="24"/>
          <w:u w:val="none"/>
          <w:rtl/>
        </w:rPr>
      </w:pPr>
    </w:p>
    <w:p w:rsidR="0000123F" w:rsidRDefault="0000123F" w:rsidP="0000123F">
      <w:pPr>
        <w:pStyle w:val="ad"/>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ab/>
      </w:r>
    </w:p>
    <w:p w:rsidR="0000123F" w:rsidRDefault="0000123F" w:rsidP="0000123F">
      <w:pPr>
        <w:pStyle w:val="ad"/>
        <w:shd w:val="clear" w:color="auto" w:fill="auto"/>
        <w:spacing w:line="360" w:lineRule="auto"/>
        <w:ind w:left="720" w:firstLine="0"/>
        <w:jc w:val="both"/>
        <w:rPr>
          <w:rFonts w:ascii="David" w:hAnsi="David" w:cs="David"/>
          <w:b w:val="0"/>
          <w:bCs w:val="0"/>
          <w:sz w:val="24"/>
          <w:szCs w:val="24"/>
          <w:u w:val="none"/>
          <w:rtl/>
        </w:rPr>
      </w:pPr>
    </w:p>
    <w:p w:rsidR="0000123F" w:rsidRDefault="0000123F" w:rsidP="0000123F">
      <w:pPr>
        <w:pStyle w:val="ad"/>
        <w:shd w:val="clear" w:color="auto" w:fill="auto"/>
        <w:spacing w:line="360" w:lineRule="auto"/>
        <w:ind w:left="720" w:firstLine="0"/>
        <w:jc w:val="both"/>
        <w:rPr>
          <w:rFonts w:ascii="David" w:hAnsi="David" w:cs="David"/>
          <w:b w:val="0"/>
          <w:bCs w:val="0"/>
          <w:sz w:val="24"/>
          <w:szCs w:val="24"/>
          <w:u w:val="none"/>
          <w:rtl/>
        </w:rPr>
      </w:pPr>
      <w:r>
        <w:rPr>
          <w:rFonts w:ascii="David" w:hAnsi="David" w:cs="David"/>
          <w:b w:val="0"/>
          <w:bCs w:val="0"/>
          <w:sz w:val="24"/>
          <w:szCs w:val="24"/>
          <w:u w:val="none"/>
          <w:rtl/>
        </w:rPr>
        <w:t xml:space="preserve"> </w:t>
      </w:r>
    </w:p>
    <w:p w:rsidR="00083FFC" w:rsidRDefault="00083FFC" w:rsidP="00140BEF">
      <w:pPr>
        <w:pStyle w:val="ad"/>
        <w:shd w:val="clear" w:color="auto" w:fill="auto"/>
        <w:spacing w:line="360" w:lineRule="auto"/>
        <w:jc w:val="both"/>
        <w:rPr>
          <w:rFonts w:ascii="David" w:hAnsi="David" w:cs="David"/>
          <w:b w:val="0"/>
          <w:bCs w:val="0"/>
          <w:sz w:val="24"/>
          <w:szCs w:val="24"/>
          <w:u w:val="none"/>
        </w:rPr>
      </w:pPr>
    </w:p>
    <w:p w:rsidR="00083FFC" w:rsidRDefault="00083FFC" w:rsidP="00140BEF">
      <w:pPr>
        <w:pStyle w:val="ad"/>
        <w:shd w:val="clear" w:color="auto" w:fill="auto"/>
        <w:spacing w:line="360" w:lineRule="auto"/>
        <w:jc w:val="both"/>
        <w:rPr>
          <w:rFonts w:ascii="David" w:hAnsi="David" w:cs="David"/>
          <w:b w:val="0"/>
          <w:bCs w:val="0"/>
          <w:sz w:val="24"/>
          <w:szCs w:val="24"/>
          <w:u w:val="none"/>
        </w:rPr>
      </w:pPr>
    </w:p>
    <w:p w:rsidR="00083FFC" w:rsidRDefault="00083FFC" w:rsidP="00140BEF">
      <w:pPr>
        <w:pStyle w:val="ad"/>
        <w:shd w:val="clear" w:color="auto" w:fill="auto"/>
        <w:spacing w:line="360" w:lineRule="auto"/>
        <w:jc w:val="both"/>
        <w:rPr>
          <w:rFonts w:ascii="David" w:hAnsi="David" w:cs="David"/>
          <w:b w:val="0"/>
          <w:bCs w:val="0"/>
          <w:sz w:val="24"/>
          <w:szCs w:val="24"/>
          <w:u w:val="none"/>
        </w:rPr>
      </w:pPr>
    </w:p>
    <w:p w:rsidR="00083FFC" w:rsidRDefault="00057AB8" w:rsidP="00057AB8">
      <w:pPr>
        <w:pStyle w:val="ad"/>
        <w:shd w:val="clear" w:color="auto" w:fill="auto"/>
        <w:tabs>
          <w:tab w:val="left" w:pos="7230"/>
        </w:tabs>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ab/>
      </w:r>
    </w:p>
    <w:p w:rsidR="0000123F" w:rsidRDefault="0000123F" w:rsidP="00140BEF">
      <w:pPr>
        <w:pStyle w:val="ad"/>
        <w:shd w:val="clear" w:color="auto" w:fill="auto"/>
        <w:spacing w:line="360" w:lineRule="auto"/>
        <w:jc w:val="both"/>
        <w:rPr>
          <w:rFonts w:ascii="David" w:hAnsi="David" w:cs="David"/>
          <w:sz w:val="24"/>
          <w:szCs w:val="24"/>
          <w:rtl/>
        </w:rPr>
      </w:pPr>
      <w:r w:rsidRPr="0000123F">
        <w:rPr>
          <w:rFonts w:ascii="David" w:hAnsi="David" w:cs="David" w:hint="cs"/>
          <w:sz w:val="24"/>
          <w:szCs w:val="24"/>
          <w:rtl/>
        </w:rPr>
        <w:t>השופט נ. סילמן</w:t>
      </w:r>
    </w:p>
    <w:p w:rsidR="00346D68" w:rsidRPr="00346D68" w:rsidRDefault="00346D68" w:rsidP="00140BEF">
      <w:pPr>
        <w:spacing w:line="360" w:lineRule="auto"/>
        <w:jc w:val="both"/>
        <w:rPr>
          <w:rFonts w:ascii="David" w:hAnsi="David"/>
          <w:noProof w:val="0"/>
          <w:lang w:eastAsia="he-IL"/>
        </w:rPr>
      </w:pPr>
    </w:p>
    <w:p w:rsidR="00346D68" w:rsidRPr="00346D68" w:rsidRDefault="00346D68" w:rsidP="00065BDD">
      <w:pPr>
        <w:spacing w:after="160" w:line="256" w:lineRule="auto"/>
        <w:rPr>
          <w:rFonts w:ascii="David" w:eastAsia="Calibri" w:hAnsi="David"/>
          <w:noProof w:val="0"/>
          <w:rtl/>
        </w:rPr>
      </w:pPr>
      <w:r w:rsidRPr="00346D68">
        <w:rPr>
          <w:rFonts w:ascii="David" w:eastAsia="Calibri" w:hAnsi="David"/>
          <w:noProof w:val="0"/>
          <w:rtl/>
        </w:rPr>
        <w:t>אני מסכים לתוצאה אליה הגיע כב' האב"ד.</w:t>
      </w:r>
    </w:p>
    <w:p w:rsidR="00346D68" w:rsidRPr="00346D68" w:rsidRDefault="00346D68" w:rsidP="00346D68">
      <w:pPr>
        <w:spacing w:after="160" w:line="256" w:lineRule="auto"/>
        <w:rPr>
          <w:rFonts w:ascii="David" w:eastAsia="Calibri" w:hAnsi="David"/>
          <w:noProof w:val="0"/>
          <w:rtl/>
        </w:rPr>
      </w:pPr>
      <w:r w:rsidRPr="00346D68">
        <w:rPr>
          <w:rFonts w:ascii="David" w:eastAsia="Calibri" w:hAnsi="David"/>
          <w:noProof w:val="0"/>
          <w:rtl/>
        </w:rPr>
        <w:t>לטעמי, הדברים בבחינת פשיטא.</w:t>
      </w:r>
    </w:p>
    <w:p w:rsidR="00346D68" w:rsidRPr="00346D68" w:rsidRDefault="00346D68" w:rsidP="00346D68">
      <w:pPr>
        <w:spacing w:after="160" w:line="256" w:lineRule="auto"/>
        <w:rPr>
          <w:rFonts w:ascii="David" w:eastAsia="Calibri" w:hAnsi="David"/>
          <w:noProof w:val="0"/>
          <w:rtl/>
        </w:rPr>
      </w:pPr>
      <w:r w:rsidRPr="00346D68">
        <w:rPr>
          <w:rFonts w:ascii="David" w:eastAsia="Calibri" w:hAnsi="David"/>
          <w:noProof w:val="0"/>
          <w:rtl/>
        </w:rPr>
        <w:t>אכן, הנכס נשוא המחלוקת הנו נכס חיצוני; יחד עם זאת נקבע כי בוצעה בו השקעה והשבחה בתקופת החיים המשותפים</w:t>
      </w:r>
      <w:r w:rsidR="00140BEF">
        <w:rPr>
          <w:rFonts w:ascii="David" w:eastAsia="Calibri" w:hAnsi="David" w:hint="cs"/>
          <w:noProof w:val="0"/>
          <w:rtl/>
        </w:rPr>
        <w:t>.</w:t>
      </w:r>
    </w:p>
    <w:p w:rsidR="00346D68" w:rsidRPr="00346D68" w:rsidRDefault="00346D68" w:rsidP="00346D68">
      <w:pPr>
        <w:spacing w:after="160" w:line="256" w:lineRule="auto"/>
        <w:rPr>
          <w:rFonts w:ascii="David" w:eastAsia="Calibri" w:hAnsi="David"/>
          <w:noProof w:val="0"/>
          <w:rtl/>
        </w:rPr>
      </w:pPr>
      <w:r w:rsidRPr="00346D68">
        <w:rPr>
          <w:rFonts w:ascii="David" w:eastAsia="Calibri" w:hAnsi="David"/>
          <w:noProof w:val="0"/>
          <w:rtl/>
        </w:rPr>
        <w:t>גם מקום בו לא הוכח שיתוף ספציפי בנכס חיצוני, ניתן להוכיח השבחתו של הנכס , ואז קמה הזכות לחלוק את נכס- ההשבחה, כנכס בר איזון בין הצדדים.</w:t>
      </w:r>
    </w:p>
    <w:p w:rsidR="00065BDD" w:rsidRPr="00346D68" w:rsidRDefault="00346D68" w:rsidP="00065BDD">
      <w:pPr>
        <w:spacing w:after="160" w:line="256" w:lineRule="auto"/>
        <w:rPr>
          <w:rFonts w:ascii="David" w:eastAsia="Calibri" w:hAnsi="David"/>
          <w:noProof w:val="0"/>
          <w:rtl/>
        </w:rPr>
      </w:pPr>
      <w:r w:rsidRPr="00346D68">
        <w:rPr>
          <w:rFonts w:ascii="David" w:eastAsia="Calibri" w:hAnsi="David"/>
          <w:noProof w:val="0"/>
          <w:rtl/>
        </w:rPr>
        <w:t>ראה לעניין זה בע"מ 5231/16 (השבחת נכס אשר הוסכם כי הוא חיצוני); בג"ץ 2899/17 פלוני נ' ביה"ד הרבני.</w:t>
      </w:r>
    </w:p>
    <w:tbl>
      <w:tblPr>
        <w:tblStyle w:val="3"/>
        <w:tblpPr w:leftFromText="180" w:rightFromText="180" w:vertAnchor="text" w:horzAnchor="margin" w:tblpY="691"/>
        <w:bidiVisua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66"/>
      </w:tblGrid>
      <w:tr w:rsidR="003E0925" w:rsidRPr="00083FFC" w:rsidTr="003E0925">
        <w:tc>
          <w:tcPr>
            <w:tcW w:w="3266" w:type="dxa"/>
            <w:tcBorders>
              <w:top w:val="nil"/>
              <w:left w:val="nil"/>
              <w:bottom w:val="single" w:sz="4" w:space="0" w:color="auto"/>
              <w:right w:val="nil"/>
            </w:tcBorders>
            <w:vAlign w:val="bottom"/>
            <w:hideMark/>
          </w:tcPr>
          <w:p w:rsidR="003E0925" w:rsidRPr="00083FFC" w:rsidRDefault="003E0925" w:rsidP="003E0925">
            <w:pPr>
              <w:jc w:val="center"/>
              <w:rPr>
                <w:rFonts w:ascii="Courier New" w:eastAsia="David" w:hAnsi="Courier New"/>
                <w:b/>
                <w:bCs/>
                <w:noProof w:val="0"/>
                <w:rtl/>
              </w:rPr>
            </w:pPr>
            <w:r w:rsidRPr="00083FFC">
              <w:rPr>
                <w:rFonts w:ascii="David" w:eastAsia="David" w:hAnsi="David"/>
              </w:rPr>
              <w:drawing>
                <wp:inline distT="0" distB="0" distL="0" distR="0" wp14:anchorId="2D6444AA" wp14:editId="7AAAF2C3">
                  <wp:extent cx="898525" cy="707390"/>
                  <wp:effectExtent l="0" t="0" r="0" b="0"/>
                  <wp:docPr id="18"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8525" cy="707390"/>
                          </a:xfrm>
                          <a:prstGeom prst="rect">
                            <a:avLst/>
                          </a:prstGeom>
                          <a:noFill/>
                          <a:ln>
                            <a:noFill/>
                          </a:ln>
                        </pic:spPr>
                      </pic:pic>
                    </a:graphicData>
                  </a:graphic>
                </wp:inline>
              </w:drawing>
            </w:r>
          </w:p>
        </w:tc>
      </w:tr>
      <w:tr w:rsidR="003E0925" w:rsidRPr="00083FFC" w:rsidTr="003E0925">
        <w:tc>
          <w:tcPr>
            <w:tcW w:w="3266" w:type="dxa"/>
            <w:tcBorders>
              <w:top w:val="single" w:sz="4" w:space="0" w:color="auto"/>
              <w:left w:val="nil"/>
              <w:bottom w:val="nil"/>
              <w:right w:val="nil"/>
            </w:tcBorders>
            <w:hideMark/>
          </w:tcPr>
          <w:p w:rsidR="003E0925" w:rsidRPr="00083FFC" w:rsidRDefault="003E0925" w:rsidP="003E0925">
            <w:pPr>
              <w:spacing w:line="360" w:lineRule="auto"/>
              <w:jc w:val="center"/>
              <w:rPr>
                <w:rFonts w:ascii="David" w:eastAsia="David" w:hAnsi="David"/>
                <w:b/>
                <w:bCs/>
              </w:rPr>
            </w:pPr>
            <w:r w:rsidRPr="00083FFC">
              <w:rPr>
                <w:rFonts w:ascii="David" w:eastAsia="David" w:hAnsi="David" w:hint="cs"/>
                <w:b/>
                <w:bCs/>
                <w:rtl/>
              </w:rPr>
              <w:t>נ. סילמן, שופט</w:t>
            </w:r>
          </w:p>
        </w:tc>
      </w:tr>
    </w:tbl>
    <w:p w:rsidR="00083FFC" w:rsidRPr="00346D68" w:rsidRDefault="00346D68" w:rsidP="00065BDD">
      <w:pPr>
        <w:spacing w:after="160" w:line="256" w:lineRule="auto"/>
        <w:rPr>
          <w:rFonts w:ascii="David" w:eastAsia="Calibri" w:hAnsi="David"/>
          <w:noProof w:val="0"/>
          <w:rtl/>
        </w:rPr>
      </w:pPr>
      <w:r w:rsidRPr="00346D68">
        <w:rPr>
          <w:rFonts w:ascii="David" w:eastAsia="Calibri" w:hAnsi="David"/>
          <w:noProof w:val="0"/>
          <w:rtl/>
        </w:rPr>
        <w:t>ראה באופן ספציפי- עמ"ש (ת"א) 25798-02-21 (מיום 23/2/22) המזכה באיזון השבחה בחברה 'חיצונית' שהייתה קיימת לפני ה</w:t>
      </w:r>
      <w:r w:rsidR="00083FFC">
        <w:rPr>
          <w:rFonts w:ascii="David" w:eastAsia="Calibri" w:hAnsi="David"/>
          <w:noProof w:val="0"/>
          <w:rtl/>
        </w:rPr>
        <w:t>נישואין; עמ"ש (נצ') 15976-05-15</w:t>
      </w:r>
      <w:r w:rsidR="003E0925">
        <w:rPr>
          <w:rFonts w:ascii="David" w:eastAsia="Calibri" w:hAnsi="David" w:hint="cs"/>
          <w:noProof w:val="0"/>
          <w:rtl/>
        </w:rPr>
        <w:t>.</w:t>
      </w:r>
    </w:p>
    <w:p w:rsidR="0000123F" w:rsidRDefault="0000123F" w:rsidP="00083FFC">
      <w:pPr>
        <w:pStyle w:val="ad"/>
        <w:shd w:val="clear" w:color="auto" w:fill="auto"/>
        <w:spacing w:line="360" w:lineRule="auto"/>
        <w:jc w:val="both"/>
        <w:rPr>
          <w:rFonts w:ascii="David" w:hAnsi="David" w:cs="David"/>
          <w:sz w:val="24"/>
          <w:szCs w:val="24"/>
          <w:rtl/>
        </w:rPr>
      </w:pPr>
    </w:p>
    <w:p w:rsidR="00083FFC" w:rsidRDefault="00083FFC" w:rsidP="00083FFC">
      <w:pPr>
        <w:pStyle w:val="ad"/>
        <w:shd w:val="clear" w:color="auto" w:fill="auto"/>
        <w:spacing w:line="360" w:lineRule="auto"/>
        <w:jc w:val="both"/>
        <w:rPr>
          <w:rFonts w:ascii="David" w:hAnsi="David" w:cs="David"/>
          <w:sz w:val="24"/>
          <w:szCs w:val="24"/>
          <w:rtl/>
        </w:rPr>
      </w:pPr>
    </w:p>
    <w:p w:rsidR="00083FFC" w:rsidRDefault="00083FFC" w:rsidP="00083FFC">
      <w:pPr>
        <w:pStyle w:val="ad"/>
        <w:shd w:val="clear" w:color="auto" w:fill="auto"/>
        <w:spacing w:line="360" w:lineRule="auto"/>
        <w:jc w:val="both"/>
        <w:rPr>
          <w:rFonts w:ascii="David" w:hAnsi="David" w:cs="David"/>
          <w:sz w:val="24"/>
          <w:szCs w:val="24"/>
          <w:rtl/>
        </w:rPr>
      </w:pPr>
    </w:p>
    <w:p w:rsidR="0000123F" w:rsidRDefault="0000123F" w:rsidP="0000123F">
      <w:pPr>
        <w:pStyle w:val="ad"/>
        <w:shd w:val="clear" w:color="auto" w:fill="auto"/>
        <w:spacing w:line="360" w:lineRule="auto"/>
        <w:ind w:left="720" w:firstLine="0"/>
        <w:jc w:val="both"/>
        <w:rPr>
          <w:rFonts w:ascii="David" w:hAnsi="David" w:cs="David"/>
          <w:sz w:val="24"/>
          <w:szCs w:val="24"/>
          <w:rtl/>
        </w:rPr>
      </w:pPr>
    </w:p>
    <w:p w:rsidR="00E00912" w:rsidRDefault="00E00912" w:rsidP="0029689D">
      <w:pPr>
        <w:pStyle w:val="ad"/>
        <w:shd w:val="clear" w:color="auto" w:fill="auto"/>
        <w:spacing w:line="360" w:lineRule="auto"/>
        <w:jc w:val="both"/>
        <w:rPr>
          <w:rFonts w:ascii="David" w:hAnsi="David" w:cs="David"/>
          <w:sz w:val="24"/>
          <w:szCs w:val="24"/>
          <w:rtl/>
        </w:rPr>
      </w:pPr>
    </w:p>
    <w:p w:rsidR="00E00912" w:rsidRDefault="00E00912" w:rsidP="0029689D">
      <w:pPr>
        <w:pStyle w:val="ad"/>
        <w:shd w:val="clear" w:color="auto" w:fill="auto"/>
        <w:spacing w:line="360" w:lineRule="auto"/>
        <w:jc w:val="both"/>
        <w:rPr>
          <w:rFonts w:ascii="David" w:hAnsi="David" w:cs="David"/>
          <w:sz w:val="24"/>
          <w:szCs w:val="24"/>
          <w:rtl/>
        </w:rPr>
      </w:pPr>
    </w:p>
    <w:p w:rsidR="0000123F" w:rsidRPr="0000123F" w:rsidRDefault="0000123F" w:rsidP="0029689D">
      <w:pPr>
        <w:pStyle w:val="ad"/>
        <w:shd w:val="clear" w:color="auto" w:fill="auto"/>
        <w:spacing w:line="360" w:lineRule="auto"/>
        <w:jc w:val="both"/>
        <w:rPr>
          <w:rFonts w:ascii="David" w:hAnsi="David" w:cs="David"/>
          <w:sz w:val="24"/>
          <w:szCs w:val="24"/>
          <w:rtl/>
        </w:rPr>
      </w:pPr>
      <w:r>
        <w:rPr>
          <w:rFonts w:ascii="David" w:hAnsi="David" w:cs="David" w:hint="cs"/>
          <w:sz w:val="24"/>
          <w:szCs w:val="24"/>
          <w:rtl/>
        </w:rPr>
        <w:lastRenderedPageBreak/>
        <w:t>השופטת ע. אטיאס</w:t>
      </w:r>
    </w:p>
    <w:p w:rsidR="00694556" w:rsidRPr="00C770E3" w:rsidRDefault="00694556">
      <w:pPr>
        <w:spacing w:line="360" w:lineRule="auto"/>
        <w:jc w:val="both"/>
        <w:rPr>
          <w:rFonts w:ascii="Arial" w:hAnsi="Arial"/>
          <w:noProof w:val="0"/>
          <w:rtl/>
        </w:rPr>
      </w:pPr>
    </w:p>
    <w:p w:rsidR="00694556" w:rsidRDefault="005246E7" w:rsidP="00083FFC">
      <w:pPr>
        <w:spacing w:line="360" w:lineRule="auto"/>
        <w:jc w:val="both"/>
        <w:rPr>
          <w:rFonts w:ascii="Arial" w:hAnsi="Arial"/>
          <w:noProof w:val="0"/>
          <w:rtl/>
        </w:rPr>
      </w:pPr>
      <w:r>
        <w:rPr>
          <w:rFonts w:ascii="Arial" w:hAnsi="Arial" w:hint="cs"/>
          <w:noProof w:val="0"/>
          <w:rtl/>
        </w:rPr>
        <w:t>אני מסכימה לתוצאה אליה הגיע כב' האב"</w:t>
      </w:r>
      <w:r w:rsidR="00083FFC">
        <w:rPr>
          <w:rFonts w:ascii="Arial" w:hAnsi="Arial" w:hint="cs"/>
          <w:noProof w:val="0"/>
          <w:rtl/>
        </w:rPr>
        <w:t>ד ג'יוסי</w:t>
      </w:r>
      <w:r w:rsidR="00E00912">
        <w:rPr>
          <w:rFonts w:ascii="Arial" w:hAnsi="Arial" w:hint="cs"/>
          <w:noProof w:val="0"/>
          <w:rtl/>
        </w:rPr>
        <w:t>,</w:t>
      </w:r>
      <w:r w:rsidR="00083FFC">
        <w:rPr>
          <w:rFonts w:ascii="Arial" w:hAnsi="Arial" w:hint="cs"/>
          <w:noProof w:val="0"/>
          <w:rtl/>
        </w:rPr>
        <w:t xml:space="preserve"> וכן להערות</w:t>
      </w:r>
      <w:r>
        <w:rPr>
          <w:rFonts w:ascii="Arial" w:hAnsi="Arial" w:hint="cs"/>
          <w:noProof w:val="0"/>
          <w:rtl/>
        </w:rPr>
        <w:t>יו של כב' השופט סילמן.</w:t>
      </w:r>
    </w:p>
    <w:p w:rsidR="00083FFC" w:rsidRPr="00C770E3" w:rsidRDefault="00083FFC" w:rsidP="00083FFC">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tbl>
      <w:tblPr>
        <w:tblStyle w:val="2"/>
        <w:bidiVisual/>
        <w:tblW w:w="2761" w:type="dxa"/>
        <w:tblInd w:w="5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61"/>
      </w:tblGrid>
      <w:tr w:rsidR="00083FFC" w:rsidRPr="00083FFC" w:rsidTr="00083FFC">
        <w:tc>
          <w:tcPr>
            <w:tcW w:w="2761" w:type="dxa"/>
            <w:tcBorders>
              <w:top w:val="nil"/>
              <w:left w:val="nil"/>
              <w:bottom w:val="single" w:sz="4" w:space="0" w:color="auto"/>
              <w:right w:val="nil"/>
            </w:tcBorders>
            <w:vAlign w:val="bottom"/>
            <w:hideMark/>
          </w:tcPr>
          <w:p w:rsidR="00083FFC" w:rsidRPr="00083FFC" w:rsidRDefault="00083FFC" w:rsidP="00083FFC">
            <w:pPr>
              <w:jc w:val="center"/>
              <w:rPr>
                <w:rFonts w:ascii="Courier New" w:eastAsia="David" w:hAnsi="Courier New"/>
                <w:b/>
                <w:bCs/>
                <w:noProof w:val="0"/>
              </w:rPr>
            </w:pPr>
            <w:r w:rsidRPr="00083FFC">
              <w:rPr>
                <w:rFonts w:ascii="David" w:eastAsia="David" w:hAnsi="David"/>
              </w:rPr>
              <w:drawing>
                <wp:inline distT="0" distB="0" distL="0" distR="0" wp14:anchorId="7F5178DD" wp14:editId="7396BBF4">
                  <wp:extent cx="612140" cy="715645"/>
                  <wp:effectExtent l="0" t="0" r="0" b="8255"/>
                  <wp:docPr id="11"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 cy="715645"/>
                          </a:xfrm>
                          <a:prstGeom prst="rect">
                            <a:avLst/>
                          </a:prstGeom>
                          <a:noFill/>
                          <a:ln>
                            <a:noFill/>
                          </a:ln>
                        </pic:spPr>
                      </pic:pic>
                    </a:graphicData>
                  </a:graphic>
                </wp:inline>
              </w:drawing>
            </w:r>
          </w:p>
        </w:tc>
      </w:tr>
      <w:tr w:rsidR="00083FFC" w:rsidRPr="00083FFC" w:rsidTr="00083FFC">
        <w:tc>
          <w:tcPr>
            <w:tcW w:w="2761" w:type="dxa"/>
            <w:tcBorders>
              <w:top w:val="single" w:sz="4" w:space="0" w:color="auto"/>
              <w:left w:val="nil"/>
              <w:bottom w:val="nil"/>
              <w:right w:val="nil"/>
            </w:tcBorders>
            <w:hideMark/>
          </w:tcPr>
          <w:p w:rsidR="00083FFC" w:rsidRPr="00083FFC" w:rsidRDefault="00083FFC" w:rsidP="00083FFC">
            <w:pPr>
              <w:spacing w:line="360" w:lineRule="auto"/>
              <w:jc w:val="center"/>
              <w:rPr>
                <w:rFonts w:ascii="David" w:eastAsia="David" w:hAnsi="David"/>
                <w:b/>
                <w:bCs/>
              </w:rPr>
            </w:pPr>
            <w:r w:rsidRPr="00083FFC">
              <w:rPr>
                <w:rFonts w:ascii="David" w:eastAsia="David" w:hAnsi="David" w:hint="cs"/>
                <w:b/>
                <w:bCs/>
                <w:rtl/>
              </w:rPr>
              <w:t>ע. אטיאס, שופטת</w:t>
            </w:r>
          </w:p>
        </w:tc>
      </w:tr>
    </w:tbl>
    <w:p w:rsidR="00694556" w:rsidRPr="00C770E3"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083FFC" w:rsidRDefault="00083FFC">
      <w:pPr>
        <w:spacing w:line="360" w:lineRule="auto"/>
        <w:jc w:val="both"/>
        <w:rPr>
          <w:rFonts w:ascii="Arial" w:hAnsi="Arial"/>
          <w:noProof w:val="0"/>
          <w:rtl/>
        </w:rPr>
      </w:pPr>
    </w:p>
    <w:p w:rsidR="00083FFC" w:rsidRDefault="00083FFC">
      <w:pPr>
        <w:spacing w:line="360" w:lineRule="auto"/>
        <w:jc w:val="both"/>
        <w:rPr>
          <w:rFonts w:ascii="Arial" w:hAnsi="Arial"/>
          <w:noProof w:val="0"/>
          <w:rtl/>
        </w:rPr>
      </w:pPr>
      <w:r>
        <w:rPr>
          <w:rFonts w:ascii="Arial" w:hAnsi="Arial" w:hint="cs"/>
          <w:noProof w:val="0"/>
          <w:rtl/>
        </w:rPr>
        <w:t xml:space="preserve">הוחלט כאמור בפסק-דינו של אב"ד </w:t>
      </w:r>
      <w:r>
        <w:rPr>
          <w:rFonts w:ascii="Arial" w:hAnsi="Arial"/>
          <w:noProof w:val="0"/>
          <w:rtl/>
        </w:rPr>
        <w:t>–</w:t>
      </w:r>
      <w:r>
        <w:rPr>
          <w:rFonts w:ascii="Arial" w:hAnsi="Arial" w:hint="cs"/>
          <w:noProof w:val="0"/>
          <w:rtl/>
        </w:rPr>
        <w:t xml:space="preserve"> השופט ג'יוסי.</w:t>
      </w:r>
    </w:p>
    <w:p w:rsidR="00083FFC" w:rsidRDefault="00083FFC">
      <w:pPr>
        <w:spacing w:line="360" w:lineRule="auto"/>
        <w:jc w:val="both"/>
        <w:rPr>
          <w:rFonts w:ascii="Arial" w:hAnsi="Arial"/>
          <w:noProof w:val="0"/>
          <w:rtl/>
        </w:rPr>
      </w:pPr>
    </w:p>
    <w:p w:rsidR="00083FFC" w:rsidRDefault="00083FFC">
      <w:pPr>
        <w:spacing w:line="360" w:lineRule="auto"/>
        <w:jc w:val="both"/>
        <w:rPr>
          <w:rFonts w:ascii="Arial" w:hAnsi="Arial"/>
          <w:noProof w:val="0"/>
          <w:rtl/>
        </w:rPr>
      </w:pPr>
    </w:p>
    <w:p w:rsidR="00083FFC" w:rsidRDefault="00083FFC" w:rsidP="00083FFC">
      <w:pPr>
        <w:spacing w:line="360" w:lineRule="auto"/>
        <w:jc w:val="both"/>
        <w:rPr>
          <w:rFonts w:ascii="Arial" w:hAnsi="Arial"/>
          <w:noProof w:val="0"/>
          <w:rtl/>
        </w:rPr>
      </w:pPr>
      <w:r w:rsidRPr="00083FFC">
        <w:rPr>
          <w:rFonts w:ascii="Arial" w:hAnsi="Arial" w:hint="cs"/>
          <w:noProof w:val="0"/>
          <w:rtl/>
        </w:rPr>
        <w:t>עירבון שהופקד יוחזר לידי ב"כ המערערת, עבור</w:t>
      </w:r>
      <w:r>
        <w:rPr>
          <w:rFonts w:ascii="Arial" w:hAnsi="Arial" w:hint="cs"/>
          <w:noProof w:val="0"/>
          <w:rtl/>
        </w:rPr>
        <w:t xml:space="preserve"> המערערת.</w:t>
      </w:r>
    </w:p>
    <w:p w:rsidR="00083FFC" w:rsidRDefault="00083FFC" w:rsidP="00083FFC">
      <w:pPr>
        <w:spacing w:line="360" w:lineRule="auto"/>
        <w:jc w:val="both"/>
        <w:rPr>
          <w:rFonts w:ascii="Arial" w:hAnsi="Arial"/>
          <w:noProof w:val="0"/>
          <w:rtl/>
        </w:rPr>
      </w:pPr>
    </w:p>
    <w:p w:rsidR="00083FFC" w:rsidRDefault="00083FFC">
      <w:pPr>
        <w:spacing w:line="360" w:lineRule="auto"/>
        <w:jc w:val="both"/>
        <w:rPr>
          <w:rFonts w:ascii="Arial" w:hAnsi="Arial"/>
          <w:noProof w:val="0"/>
          <w:rtl/>
        </w:rPr>
      </w:pPr>
      <w:r>
        <w:rPr>
          <w:rFonts w:ascii="Arial" w:hAnsi="Arial" w:hint="cs"/>
          <w:noProof w:val="0"/>
          <w:rtl/>
        </w:rPr>
        <w:t>מותר לפרסום לאחר מחיקת שמות הצדדים והשמטת פרטים מזהים.</w:t>
      </w:r>
    </w:p>
    <w:p w:rsidR="00083FFC" w:rsidRDefault="00083FFC" w:rsidP="00083FFC">
      <w:pPr>
        <w:spacing w:line="360" w:lineRule="auto"/>
        <w:jc w:val="both"/>
        <w:rPr>
          <w:rFonts w:ascii="Arial" w:hAnsi="Arial"/>
          <w:noProof w:val="0"/>
          <w:rtl/>
        </w:rPr>
      </w:pPr>
    </w:p>
    <w:p w:rsidR="00083FFC" w:rsidRDefault="00083FFC" w:rsidP="00083FFC">
      <w:pPr>
        <w:spacing w:line="360" w:lineRule="auto"/>
        <w:jc w:val="both"/>
        <w:rPr>
          <w:rFonts w:ascii="Arial" w:hAnsi="Arial"/>
          <w:noProof w:val="0"/>
          <w:rtl/>
        </w:rPr>
      </w:pPr>
    </w:p>
    <w:p w:rsidR="00C43648" w:rsidRPr="00083FFC" w:rsidRDefault="0043502B" w:rsidP="00083FFC">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ח'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01 מרץ 2023</w:t>
          </w:r>
        </w:sdtContent>
      </w:sdt>
      <w:r w:rsidR="00005C8B">
        <w:rPr>
          <w:rFonts w:ascii="Arial" w:hAnsi="Arial"/>
          <w:noProof w:val="0"/>
          <w:rtl/>
        </w:rPr>
        <w:t>, בהעדר הצדדים.</w:t>
      </w:r>
    </w:p>
    <w:tbl>
      <w:tblPr>
        <w:tblStyle w:val="10"/>
        <w:bidiVisua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gridCol w:w="342"/>
        <w:gridCol w:w="2761"/>
        <w:gridCol w:w="485"/>
        <w:gridCol w:w="2350"/>
      </w:tblGrid>
      <w:tr w:rsidR="00083FFC" w:rsidRPr="00083FFC" w:rsidTr="00083FFC">
        <w:tc>
          <w:tcPr>
            <w:tcW w:w="2368" w:type="dxa"/>
            <w:tcBorders>
              <w:top w:val="nil"/>
              <w:left w:val="nil"/>
              <w:bottom w:val="single" w:sz="4" w:space="0" w:color="auto"/>
              <w:right w:val="nil"/>
            </w:tcBorders>
            <w:vAlign w:val="bottom"/>
            <w:hideMark/>
          </w:tcPr>
          <w:p w:rsidR="00083FFC" w:rsidRPr="00083FFC" w:rsidRDefault="00083FFC" w:rsidP="00083FFC">
            <w:pPr>
              <w:jc w:val="center"/>
              <w:rPr>
                <w:rFonts w:ascii="Courier New" w:eastAsia="David" w:hAnsi="Courier New" w:cs="Times New Roman"/>
                <w:b/>
                <w:bCs/>
                <w:noProof w:val="0"/>
              </w:rPr>
            </w:pPr>
            <w:r w:rsidRPr="00083FFC">
              <w:rPr>
                <w:rFonts w:ascii="David" w:eastAsia="David" w:hAnsi="David"/>
              </w:rPr>
              <w:drawing>
                <wp:inline distT="0" distB="0" distL="0" distR="0" wp14:anchorId="464B1329" wp14:editId="23F88B1D">
                  <wp:extent cx="922655" cy="1065530"/>
                  <wp:effectExtent l="0" t="0" r="0" b="1270"/>
                  <wp:docPr id="4"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2655" cy="1065530"/>
                          </a:xfrm>
                          <a:prstGeom prst="rect">
                            <a:avLst/>
                          </a:prstGeom>
                          <a:noFill/>
                          <a:ln>
                            <a:noFill/>
                          </a:ln>
                        </pic:spPr>
                      </pic:pic>
                    </a:graphicData>
                  </a:graphic>
                </wp:inline>
              </w:drawing>
            </w:r>
          </w:p>
        </w:tc>
        <w:tc>
          <w:tcPr>
            <w:tcW w:w="342" w:type="dxa"/>
            <w:vAlign w:val="bottom"/>
          </w:tcPr>
          <w:p w:rsidR="00083FFC" w:rsidRPr="00083FFC" w:rsidRDefault="00083FFC" w:rsidP="00083FFC">
            <w:pPr>
              <w:jc w:val="center"/>
              <w:rPr>
                <w:rFonts w:ascii="Courier New" w:eastAsia="David" w:hAnsi="Courier New"/>
                <w:b/>
                <w:bCs/>
                <w:noProof w:val="0"/>
                <w:rtl/>
              </w:rPr>
            </w:pPr>
          </w:p>
        </w:tc>
        <w:tc>
          <w:tcPr>
            <w:tcW w:w="2761" w:type="dxa"/>
            <w:tcBorders>
              <w:top w:val="nil"/>
              <w:left w:val="nil"/>
              <w:bottom w:val="single" w:sz="4" w:space="0" w:color="auto"/>
              <w:right w:val="nil"/>
            </w:tcBorders>
            <w:vAlign w:val="bottom"/>
            <w:hideMark/>
          </w:tcPr>
          <w:p w:rsidR="00083FFC" w:rsidRPr="00083FFC" w:rsidRDefault="00083FFC" w:rsidP="00083FFC">
            <w:pPr>
              <w:jc w:val="center"/>
              <w:rPr>
                <w:rFonts w:ascii="Courier New" w:eastAsia="David" w:hAnsi="Courier New"/>
                <w:b/>
                <w:bCs/>
                <w:noProof w:val="0"/>
              </w:rPr>
            </w:pPr>
            <w:r w:rsidRPr="00083FFC">
              <w:rPr>
                <w:rFonts w:ascii="David" w:eastAsia="David" w:hAnsi="David"/>
              </w:rPr>
              <w:drawing>
                <wp:inline distT="0" distB="0" distL="0" distR="0" wp14:anchorId="492AD7B9" wp14:editId="7E22C8CC">
                  <wp:extent cx="612140" cy="715645"/>
                  <wp:effectExtent l="0" t="0" r="0" b="8255"/>
                  <wp:docPr id="5"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 cy="715645"/>
                          </a:xfrm>
                          <a:prstGeom prst="rect">
                            <a:avLst/>
                          </a:prstGeom>
                          <a:noFill/>
                          <a:ln>
                            <a:noFill/>
                          </a:ln>
                        </pic:spPr>
                      </pic:pic>
                    </a:graphicData>
                  </a:graphic>
                </wp:inline>
              </w:drawing>
            </w:r>
          </w:p>
        </w:tc>
        <w:tc>
          <w:tcPr>
            <w:tcW w:w="485" w:type="dxa"/>
            <w:vAlign w:val="bottom"/>
          </w:tcPr>
          <w:p w:rsidR="00083FFC" w:rsidRPr="00083FFC" w:rsidRDefault="00083FFC" w:rsidP="00083FFC">
            <w:pPr>
              <w:jc w:val="center"/>
              <w:rPr>
                <w:rFonts w:ascii="Courier New" w:eastAsia="David" w:hAnsi="Courier New"/>
                <w:b/>
                <w:bCs/>
                <w:noProof w:val="0"/>
              </w:rPr>
            </w:pPr>
          </w:p>
        </w:tc>
        <w:tc>
          <w:tcPr>
            <w:tcW w:w="2350" w:type="dxa"/>
            <w:tcBorders>
              <w:top w:val="nil"/>
              <w:left w:val="nil"/>
              <w:bottom w:val="single" w:sz="4" w:space="0" w:color="auto"/>
              <w:right w:val="nil"/>
            </w:tcBorders>
            <w:vAlign w:val="bottom"/>
            <w:hideMark/>
          </w:tcPr>
          <w:p w:rsidR="00083FFC" w:rsidRPr="00083FFC" w:rsidRDefault="00083FFC" w:rsidP="00083FFC">
            <w:pPr>
              <w:jc w:val="center"/>
              <w:rPr>
                <w:rFonts w:ascii="Courier New" w:eastAsia="David" w:hAnsi="Courier New"/>
                <w:b/>
                <w:bCs/>
                <w:noProof w:val="0"/>
                <w:rtl/>
              </w:rPr>
            </w:pPr>
            <w:r w:rsidRPr="00083FFC">
              <w:rPr>
                <w:rFonts w:ascii="David" w:eastAsia="David" w:hAnsi="David"/>
              </w:rPr>
              <w:drawing>
                <wp:inline distT="0" distB="0" distL="0" distR="0" wp14:anchorId="0BA2A728" wp14:editId="27D4747F">
                  <wp:extent cx="898525" cy="707390"/>
                  <wp:effectExtent l="0" t="0" r="0" b="0"/>
                  <wp:docPr id="6"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8525" cy="707390"/>
                          </a:xfrm>
                          <a:prstGeom prst="rect">
                            <a:avLst/>
                          </a:prstGeom>
                          <a:noFill/>
                          <a:ln>
                            <a:noFill/>
                          </a:ln>
                        </pic:spPr>
                      </pic:pic>
                    </a:graphicData>
                  </a:graphic>
                </wp:inline>
              </w:drawing>
            </w:r>
          </w:p>
        </w:tc>
      </w:tr>
      <w:tr w:rsidR="00083FFC" w:rsidRPr="00083FFC" w:rsidTr="00083FFC">
        <w:tc>
          <w:tcPr>
            <w:tcW w:w="2368" w:type="dxa"/>
            <w:tcBorders>
              <w:top w:val="single" w:sz="4" w:space="0" w:color="auto"/>
              <w:left w:val="nil"/>
              <w:bottom w:val="nil"/>
              <w:right w:val="nil"/>
            </w:tcBorders>
            <w:hideMark/>
          </w:tcPr>
          <w:p w:rsidR="00083FFC" w:rsidRPr="00083FFC" w:rsidRDefault="00083FFC" w:rsidP="00083FFC">
            <w:pPr>
              <w:jc w:val="center"/>
              <w:rPr>
                <w:rFonts w:ascii="David" w:eastAsia="David" w:hAnsi="David"/>
                <w:b/>
                <w:bCs/>
              </w:rPr>
            </w:pPr>
            <w:r w:rsidRPr="00083FFC">
              <w:rPr>
                <w:rFonts w:ascii="David" w:eastAsia="David" w:hAnsi="David" w:hint="cs"/>
                <w:b/>
                <w:bCs/>
                <w:noProof w:val="0"/>
                <w:rtl/>
              </w:rPr>
              <w:t>ס. ג'יוסי, שופט</w:t>
            </w:r>
            <w:r w:rsidRPr="00083FFC">
              <w:rPr>
                <w:rFonts w:ascii="David" w:eastAsia="David" w:hAnsi="David" w:hint="cs"/>
                <w:b/>
                <w:bCs/>
                <w:rtl/>
              </w:rPr>
              <w:br/>
              <w:t>[אב"ד]</w:t>
            </w:r>
          </w:p>
        </w:tc>
        <w:tc>
          <w:tcPr>
            <w:tcW w:w="342" w:type="dxa"/>
          </w:tcPr>
          <w:p w:rsidR="00083FFC" w:rsidRPr="00083FFC" w:rsidRDefault="00083FFC" w:rsidP="00083FFC">
            <w:pPr>
              <w:spacing w:line="360" w:lineRule="auto"/>
              <w:rPr>
                <w:rFonts w:ascii="David" w:eastAsia="David" w:hAnsi="David"/>
                <w:b/>
                <w:bCs/>
                <w:color w:val="FF0000"/>
                <w:rtl/>
              </w:rPr>
            </w:pPr>
          </w:p>
        </w:tc>
        <w:tc>
          <w:tcPr>
            <w:tcW w:w="2761" w:type="dxa"/>
            <w:tcBorders>
              <w:top w:val="single" w:sz="4" w:space="0" w:color="auto"/>
              <w:left w:val="nil"/>
              <w:bottom w:val="nil"/>
              <w:right w:val="nil"/>
            </w:tcBorders>
            <w:hideMark/>
          </w:tcPr>
          <w:p w:rsidR="00083FFC" w:rsidRPr="00083FFC" w:rsidRDefault="00083FFC" w:rsidP="00083FFC">
            <w:pPr>
              <w:spacing w:line="360" w:lineRule="auto"/>
              <w:jc w:val="center"/>
              <w:rPr>
                <w:rFonts w:ascii="David" w:eastAsia="David" w:hAnsi="David"/>
                <w:b/>
                <w:bCs/>
              </w:rPr>
            </w:pPr>
            <w:r w:rsidRPr="00083FFC">
              <w:rPr>
                <w:rFonts w:ascii="David" w:eastAsia="David" w:hAnsi="David" w:hint="cs"/>
                <w:b/>
                <w:bCs/>
                <w:rtl/>
              </w:rPr>
              <w:t>ע. אטיאס, שופטת</w:t>
            </w:r>
          </w:p>
        </w:tc>
        <w:tc>
          <w:tcPr>
            <w:tcW w:w="485" w:type="dxa"/>
          </w:tcPr>
          <w:p w:rsidR="00083FFC" w:rsidRPr="00083FFC" w:rsidRDefault="00083FFC" w:rsidP="00083FFC">
            <w:pPr>
              <w:spacing w:line="360" w:lineRule="auto"/>
              <w:rPr>
                <w:rFonts w:ascii="David" w:eastAsia="David" w:hAnsi="David"/>
                <w:b/>
                <w:bCs/>
                <w:color w:val="FF0000"/>
              </w:rPr>
            </w:pPr>
          </w:p>
        </w:tc>
        <w:tc>
          <w:tcPr>
            <w:tcW w:w="2350" w:type="dxa"/>
            <w:tcBorders>
              <w:top w:val="single" w:sz="4" w:space="0" w:color="auto"/>
              <w:left w:val="nil"/>
              <w:bottom w:val="nil"/>
              <w:right w:val="nil"/>
            </w:tcBorders>
            <w:hideMark/>
          </w:tcPr>
          <w:p w:rsidR="00083FFC" w:rsidRPr="00083FFC" w:rsidRDefault="00083FFC" w:rsidP="00083FFC">
            <w:pPr>
              <w:spacing w:line="360" w:lineRule="auto"/>
              <w:jc w:val="center"/>
              <w:rPr>
                <w:rFonts w:ascii="David" w:eastAsia="David" w:hAnsi="David"/>
                <w:b/>
                <w:bCs/>
              </w:rPr>
            </w:pPr>
            <w:r w:rsidRPr="00083FFC">
              <w:rPr>
                <w:rFonts w:ascii="David" w:eastAsia="David" w:hAnsi="David" w:hint="cs"/>
                <w:b/>
                <w:bCs/>
                <w:rtl/>
              </w:rPr>
              <w:t>נ. סילמן, שופט</w:t>
            </w:r>
          </w:p>
        </w:tc>
      </w:tr>
    </w:tbl>
    <w:p w:rsidR="00694556" w:rsidRDefault="00BD6531" w:rsidP="00083FFC">
      <w:pPr>
        <w:tabs>
          <w:tab w:val="left" w:pos="2553"/>
        </w:tabs>
        <w:rPr>
          <w:rFonts w:ascii="Arial" w:hAnsi="Arial"/>
          <w:noProof w:val="0"/>
          <w:rtl/>
        </w:rPr>
      </w:pPr>
      <w:r>
        <w:rPr>
          <w:rFonts w:hint="cs"/>
          <w:rtl/>
        </w:rPr>
        <w:tab/>
      </w:r>
      <w:r w:rsidR="00083FFC">
        <w:rPr>
          <w:rFonts w:hint="cs"/>
          <w:rtl/>
        </w:rPr>
        <w:tab/>
      </w:r>
      <w:r w:rsidR="00083FFC">
        <w:rPr>
          <w:rFonts w:hint="cs"/>
          <w:rtl/>
        </w:rPr>
        <w:tab/>
      </w:r>
      <w:r w:rsidR="00083FFC">
        <w:rPr>
          <w:rFonts w:hint="cs"/>
          <w:rtl/>
        </w:rPr>
        <w:tab/>
        <w:t xml:space="preserve">       </w:t>
      </w:r>
    </w:p>
    <w:sectPr w:rsidR="00694556"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382" w:rsidRDefault="00F94382">
      <w:r>
        <w:separator/>
      </w:r>
    </w:p>
  </w:endnote>
  <w:endnote w:type="continuationSeparator" w:id="0">
    <w:p w:rsidR="00F94382" w:rsidRDefault="00F9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C94" w:rsidRDefault="008C6C9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F0E0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F0E0A">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C94" w:rsidRDefault="008C6C9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382" w:rsidRDefault="00F94382">
      <w:r>
        <w:separator/>
      </w:r>
    </w:p>
  </w:footnote>
  <w:footnote w:type="continuationSeparator" w:id="0">
    <w:p w:rsidR="00F94382" w:rsidRDefault="00F9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C94" w:rsidRDefault="008C6C9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94382" w:rsidP="00CF1701">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18260-09-22</w:t>
              </w:r>
            </w:sdtContent>
          </w:sdt>
          <w:r w:rsidR="00CF1701">
            <w:rPr>
              <w:rFonts w:hint="cs"/>
              <w:b/>
              <w:bCs/>
              <w:noProof w:val="0"/>
              <w:sz w:val="26"/>
              <w:szCs w:val="26"/>
              <w:rtl/>
            </w:rPr>
            <w:t xml:space="preserve"> א.ג.  נ'  י.ס.</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C94" w:rsidRDefault="008C6C9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E59EC"/>
    <w:multiLevelType w:val="hybridMultilevel"/>
    <w:tmpl w:val="639A9D44"/>
    <w:lvl w:ilvl="0" w:tplc="EB6C3BE0">
      <w:start w:val="1"/>
      <w:numFmt w:val="decimal"/>
      <w:lvlText w:val="%1."/>
      <w:lvlJc w:val="left"/>
      <w:pPr>
        <w:ind w:left="720" w:hanging="360"/>
      </w:pPr>
      <w:rPr>
        <w:rFonts w:ascii="David" w:hAnsi="David" w:cs="David" w:hint="default"/>
        <w:b w:val="0"/>
        <w:bCs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89257"/>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589257&amp;lt;/CaseID&amp;gt;_x000d__x000a_        &amp;lt;DocumentID&amp;gt;404489813&amp;lt;/DocumentID&amp;gt;_x000d__x000a_      &amp;lt;/dt_DocumentCase&amp;gt;_x000d__x000a_      &amp;lt;dt_Document diffgr:id=&amp;quot;dt_Document1&amp;quot; msdata:rowOrder=&amp;quot;0&amp;quot;&amp;gt;_x000d__x000a_        &amp;lt;DocumentID&amp;gt;404489813&amp;lt;/DocumentID&amp;gt;_x000d__x000a_        &amp;lt;DocumentMainID&amp;gt;0&amp;lt;/DocumentMainID&amp;gt;_x000d__x000a_        &amp;lt;CaseID&amp;gt;79589257&amp;lt;/CaseID&amp;gt;_x000d__x000a_        &amp;lt;DocumentIncludedDate&amp;gt;2023-03-01T13:11:38.263+02:00&amp;lt;/DocumentIncludedDate&amp;gt;_x000d__x000a_        &amp;lt;DocumentDesc&amp;gt;פסק דין  שניתנה ע&amp;quot;י  סארי ג&amp;#39;יוסי&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3-01T13:11:38.263+02:00&amp;lt;/DocumentSavingDate&amp;gt;_x000d__x000a_        &amp;lt;DocumentChangeDate&amp;gt;2023-03-01T13:11:38.42+02:00&amp;lt;/DocumentChangeDate&amp;gt;_x000d__x000a_        &amp;lt;IsScanned&amp;gt;false&amp;lt;/IsScanned&amp;gt;_x000d__x000a_        &amp;lt;PageQuantity&amp;gt;0&amp;lt;/PageQuantity&amp;gt;_x000d__x000a_        &amp;lt;DocumentStatusID&amp;gt;2&amp;lt;/DocumentStatusID&amp;gt;_x000d__x000a_        &amp;lt;DocumentStatusChangeDate&amp;gt;2023-03-01T13:11:38.42+02:00&amp;lt;/DocumentStatusChangeDate&amp;gt;_x000d__x000a_        &amp;lt;TemplateVersionID&amp;gt;1&amp;lt;/TemplateVersionID&amp;gt;_x000d__x000a_        &amp;lt;DocumentChangeUserID&amp;gt;023469166@GOV.IL&amp;lt;/DocumentChangeUserID&amp;gt;_x000d__x000a_        &amp;lt;DocumentCreationUserID&amp;gt;023469166@GOV.IL&amp;lt;/DocumentCreationUserID&amp;gt;_x000d__x000a_        &amp;lt;OriginalDocumentID&amp;gt;404209328&amp;lt;/OriginalDocumentID&amp;gt;_x000d__x000a_        &amp;lt;PrivillegeID&amp;gt;2&amp;lt;/PrivillegeID&amp;gt;_x000d__x000a_        &amp;lt;FromPage&amp;gt;0&amp;lt;/FromPage&amp;gt;_x000d__x000a_        &amp;lt;ToPage&amp;gt;0&amp;lt;/ToPage&amp;gt;_x000d__x000a_        &amp;lt;FileID&amp;gt;99e3de9c86010000090037f6a5d2e737&amp;lt;/FileID&amp;gt;_x000d__x000a_        &amp;lt;URL&amp;gt;\\CTLNFSV02\doc_repository\606\584\3806db9c86010000090037f6a5d2ccf6_copy.docx&amp;lt;/URL&amp;gt;_x000d__x000a_        &amp;lt;OlivePriority&amp;gt;1&amp;lt;/OlivePriority&amp;gt;_x000d__x000a_        &amp;lt;MetaDataTypeID&amp;gt;1&amp;lt;/MetaDataTypeID&amp;gt;_x000d__x000a_        &amp;lt;MetaDataChangeDate&amp;gt;2023-03-01T13:11:38.42+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סארי ג&amp;#39;יוסי&amp;amp;lt;/anyType&amp;amp;gt;_x000d__x000a_    &amp;amp;lt;anyType xsi:type=&amp;quot;xsd:dateTime&amp;quot;&amp;amp;gt;2023-03-01T13:06:27.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01T13:06:27.5+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123F"/>
    <w:rsid w:val="0000226B"/>
    <w:rsid w:val="00005C8B"/>
    <w:rsid w:val="000529D2"/>
    <w:rsid w:val="000564AB"/>
    <w:rsid w:val="00057AB8"/>
    <w:rsid w:val="00064FBD"/>
    <w:rsid w:val="000659AC"/>
    <w:rsid w:val="00065BDD"/>
    <w:rsid w:val="00082AB2"/>
    <w:rsid w:val="00083FFC"/>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0BEF"/>
    <w:rsid w:val="00144D2A"/>
    <w:rsid w:val="0014653E"/>
    <w:rsid w:val="00180519"/>
    <w:rsid w:val="00191C82"/>
    <w:rsid w:val="001C4003"/>
    <w:rsid w:val="001D4DBF"/>
    <w:rsid w:val="001E75CA"/>
    <w:rsid w:val="002265FF"/>
    <w:rsid w:val="00271B56"/>
    <w:rsid w:val="00272E32"/>
    <w:rsid w:val="0029689D"/>
    <w:rsid w:val="002C344E"/>
    <w:rsid w:val="002E75E9"/>
    <w:rsid w:val="002F0B1E"/>
    <w:rsid w:val="00307A6A"/>
    <w:rsid w:val="00307C40"/>
    <w:rsid w:val="00320433"/>
    <w:rsid w:val="003230C7"/>
    <w:rsid w:val="00327E50"/>
    <w:rsid w:val="0033597A"/>
    <w:rsid w:val="00343D89"/>
    <w:rsid w:val="00346D68"/>
    <w:rsid w:val="00352937"/>
    <w:rsid w:val="00362612"/>
    <w:rsid w:val="0036743F"/>
    <w:rsid w:val="003715DD"/>
    <w:rsid w:val="003823E0"/>
    <w:rsid w:val="003A4521"/>
    <w:rsid w:val="003D1C8C"/>
    <w:rsid w:val="003E0925"/>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6E7"/>
    <w:rsid w:val="00524986"/>
    <w:rsid w:val="005268F6"/>
    <w:rsid w:val="00534284"/>
    <w:rsid w:val="00547DB7"/>
    <w:rsid w:val="00557717"/>
    <w:rsid w:val="00576A86"/>
    <w:rsid w:val="00582DD9"/>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85664"/>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C6C94"/>
    <w:rsid w:val="008D10B2"/>
    <w:rsid w:val="008E5DB3"/>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661BF"/>
    <w:rsid w:val="00B809AD"/>
    <w:rsid w:val="00B80CBD"/>
    <w:rsid w:val="00B859C5"/>
    <w:rsid w:val="00B86096"/>
    <w:rsid w:val="00B964D9"/>
    <w:rsid w:val="00BA0A7C"/>
    <w:rsid w:val="00BA517C"/>
    <w:rsid w:val="00BB3D05"/>
    <w:rsid w:val="00BB53D3"/>
    <w:rsid w:val="00BB73BE"/>
    <w:rsid w:val="00BC2D89"/>
    <w:rsid w:val="00BD6531"/>
    <w:rsid w:val="00BE05B2"/>
    <w:rsid w:val="00BE1740"/>
    <w:rsid w:val="00BF1908"/>
    <w:rsid w:val="00C22D93"/>
    <w:rsid w:val="00C23458"/>
    <w:rsid w:val="00C23AC9"/>
    <w:rsid w:val="00C31120"/>
    <w:rsid w:val="00C34482"/>
    <w:rsid w:val="00C43648"/>
    <w:rsid w:val="00C50A9F"/>
    <w:rsid w:val="00C642FA"/>
    <w:rsid w:val="00C770E3"/>
    <w:rsid w:val="00CC7622"/>
    <w:rsid w:val="00CD608F"/>
    <w:rsid w:val="00CF1701"/>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00912"/>
    <w:rsid w:val="00E1068A"/>
    <w:rsid w:val="00E25884"/>
    <w:rsid w:val="00E25B55"/>
    <w:rsid w:val="00E31C2B"/>
    <w:rsid w:val="00E5426A"/>
    <w:rsid w:val="00E54642"/>
    <w:rsid w:val="00E80CBE"/>
    <w:rsid w:val="00E9269D"/>
    <w:rsid w:val="00E962E3"/>
    <w:rsid w:val="00EB6C79"/>
    <w:rsid w:val="00EC37E9"/>
    <w:rsid w:val="00EC6BCC"/>
    <w:rsid w:val="00F038D8"/>
    <w:rsid w:val="00F06995"/>
    <w:rsid w:val="00F12D66"/>
    <w:rsid w:val="00F13623"/>
    <w:rsid w:val="00F44D1D"/>
    <w:rsid w:val="00F84B6D"/>
    <w:rsid w:val="00F94382"/>
    <w:rsid w:val="00F957E8"/>
    <w:rsid w:val="00FA311A"/>
    <w:rsid w:val="00FA5FDA"/>
    <w:rsid w:val="00FB6AB3"/>
    <w:rsid w:val="00FD1419"/>
    <w:rsid w:val="00FD6C9F"/>
    <w:rsid w:val="00FD79E4"/>
    <w:rsid w:val="00FE2894"/>
    <w:rsid w:val="00FF0E0A"/>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Title"/>
    <w:basedOn w:val="a"/>
    <w:link w:val="ae"/>
    <w:qFormat/>
    <w:rsid w:val="0000123F"/>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00123F"/>
    <w:rPr>
      <w:b/>
      <w:bCs/>
      <w:szCs w:val="28"/>
      <w:u w:val="single"/>
      <w:shd w:val="pct20" w:color="auto" w:fill="FFFFFF"/>
      <w:lang w:eastAsia="he-IL"/>
    </w:rPr>
  </w:style>
  <w:style w:type="paragraph" w:styleId="af">
    <w:name w:val="List Paragraph"/>
    <w:basedOn w:val="a"/>
    <w:uiPriority w:val="34"/>
    <w:qFormat/>
    <w:rsid w:val="0000123F"/>
    <w:pPr>
      <w:ind w:left="720"/>
      <w:contextualSpacing/>
    </w:pPr>
  </w:style>
  <w:style w:type="paragraph" w:customStyle="1" w:styleId="p00">
    <w:name w:val="p00"/>
    <w:basedOn w:val="a"/>
    <w:rsid w:val="0000123F"/>
    <w:pPr>
      <w:bidi w:val="0"/>
      <w:spacing w:before="100" w:beforeAutospacing="1" w:after="100" w:afterAutospacing="1"/>
    </w:pPr>
    <w:rPr>
      <w:rFonts w:cs="Times New Roman"/>
      <w:noProof w:val="0"/>
    </w:rPr>
  </w:style>
  <w:style w:type="paragraph" w:customStyle="1" w:styleId="p22">
    <w:name w:val="p22"/>
    <w:basedOn w:val="a"/>
    <w:rsid w:val="0000123F"/>
    <w:pPr>
      <w:bidi w:val="0"/>
      <w:spacing w:before="100" w:beforeAutospacing="1" w:after="100" w:afterAutospacing="1"/>
    </w:pPr>
    <w:rPr>
      <w:rFonts w:cs="Times New Roman"/>
      <w:noProof w:val="0"/>
    </w:rPr>
  </w:style>
  <w:style w:type="character" w:customStyle="1" w:styleId="default">
    <w:name w:val="default"/>
    <w:basedOn w:val="a0"/>
    <w:rsid w:val="0000123F"/>
  </w:style>
  <w:style w:type="character" w:customStyle="1" w:styleId="big-number">
    <w:name w:val="big-number"/>
    <w:rsid w:val="0000123F"/>
    <w:rPr>
      <w:rFonts w:ascii="Times New Roman" w:hAnsi="Times New Roman" w:cs="Times New Roman" w:hint="default"/>
      <w:sz w:val="32"/>
      <w:szCs w:val="32"/>
    </w:rPr>
  </w:style>
  <w:style w:type="table" w:customStyle="1" w:styleId="10">
    <w:name w:val="רשת טבלה1"/>
    <w:basedOn w:val="a1"/>
    <w:next w:val="a9"/>
    <w:rsid w:val="00083FFC"/>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רשת טבלה2"/>
    <w:basedOn w:val="a1"/>
    <w:next w:val="a9"/>
    <w:rsid w:val="00083FFC"/>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רשת טבלה3"/>
    <w:basedOn w:val="a1"/>
    <w:next w:val="a9"/>
    <w:rsid w:val="00083FFC"/>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רשת טבלה4"/>
    <w:basedOn w:val="a1"/>
    <w:next w:val="a9"/>
    <w:rsid w:val="00083FFC"/>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1143">
      <w:bodyDiv w:val="1"/>
      <w:marLeft w:val="0"/>
      <w:marRight w:val="0"/>
      <w:marTop w:val="0"/>
      <w:marBottom w:val="0"/>
      <w:divBdr>
        <w:top w:val="none" w:sz="0" w:space="0" w:color="auto"/>
        <w:left w:val="none" w:sz="0" w:space="0" w:color="auto"/>
        <w:bottom w:val="none" w:sz="0" w:space="0" w:color="auto"/>
        <w:right w:val="none" w:sz="0" w:space="0" w:color="auto"/>
      </w:divBdr>
    </w:div>
    <w:div w:id="229922818">
      <w:bodyDiv w:val="1"/>
      <w:marLeft w:val="0"/>
      <w:marRight w:val="0"/>
      <w:marTop w:val="0"/>
      <w:marBottom w:val="0"/>
      <w:divBdr>
        <w:top w:val="none" w:sz="0" w:space="0" w:color="auto"/>
        <w:left w:val="none" w:sz="0" w:space="0" w:color="auto"/>
        <w:bottom w:val="none" w:sz="0" w:space="0" w:color="auto"/>
        <w:right w:val="none" w:sz="0" w:space="0" w:color="auto"/>
      </w:divBdr>
    </w:div>
    <w:div w:id="598176959">
      <w:bodyDiv w:val="1"/>
      <w:marLeft w:val="0"/>
      <w:marRight w:val="0"/>
      <w:marTop w:val="0"/>
      <w:marBottom w:val="0"/>
      <w:divBdr>
        <w:top w:val="none" w:sz="0" w:space="0" w:color="auto"/>
        <w:left w:val="none" w:sz="0" w:space="0" w:color="auto"/>
        <w:bottom w:val="none" w:sz="0" w:space="0" w:color="auto"/>
        <w:right w:val="none" w:sz="0" w:space="0" w:color="auto"/>
      </w:divBdr>
    </w:div>
    <w:div w:id="785928548">
      <w:bodyDiv w:val="1"/>
      <w:marLeft w:val="0"/>
      <w:marRight w:val="0"/>
      <w:marTop w:val="0"/>
      <w:marBottom w:val="0"/>
      <w:divBdr>
        <w:top w:val="none" w:sz="0" w:space="0" w:color="auto"/>
        <w:left w:val="none" w:sz="0" w:space="0" w:color="auto"/>
        <w:bottom w:val="none" w:sz="0" w:space="0" w:color="auto"/>
        <w:right w:val="none" w:sz="0" w:space="0" w:color="auto"/>
      </w:divBdr>
    </w:div>
    <w:div w:id="99302401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945634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61164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2878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138"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law/72138"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E565A"/>
    <w:rsid w:val="00425EB6"/>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EA0F63"/>
    <w:rsid w:val="00F00DF8"/>
    <w:rsid w:val="00F04DC1"/>
    <w:rsid w:val="00F678CA"/>
    <w:rsid w:val="00FB3E20"/>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565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E565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3241</Words>
  <Characters>16209</Characters>
  <Application>Microsoft Office Word</Application>
  <DocSecurity>0</DocSecurity>
  <Lines>135</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2023-05-07T11:06:00Z</dcterms:created>
  <dcterms:modified xsi:type="dcterms:W3CDTF">2023-05-07T11:06:00Z</dcterms:modified>
</cp:coreProperties>
</file>